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994"/>
        <w:gridCol w:w="992"/>
        <w:gridCol w:w="853"/>
        <w:gridCol w:w="851"/>
        <w:gridCol w:w="850"/>
        <w:gridCol w:w="852"/>
        <w:gridCol w:w="850"/>
        <w:gridCol w:w="852"/>
        <w:gridCol w:w="850"/>
        <w:gridCol w:w="852"/>
        <w:gridCol w:w="1558"/>
        <w:gridCol w:w="2699"/>
      </w:tblGrid>
      <w:tr>
        <w:trPr>
          <w:trHeight w:val="936" w:hRule="atLeast"/>
        </w:trPr>
        <w:tc>
          <w:tcPr>
            <w:tcW w:w="675" w:type="dxa"/>
          </w:tcPr>
          <w:p>
            <w:pPr>
              <w:pStyle w:val="TableParagraph"/>
              <w:spacing w:line="278" w:lineRule="auto" w:before="9"/>
              <w:rPr>
                <w:b/>
                <w:sz w:val="18"/>
              </w:rPr>
            </w:pPr>
            <w:r>
              <w:rPr>
                <w:rFonts w:ascii="华文楷体" w:eastAsia="华文楷体" w:hint="eastAsia"/>
                <w:sz w:val="18"/>
              </w:rPr>
              <w:t>1   </w:t>
            </w:r>
            <w:r>
              <w:rPr>
                <w:b/>
                <w:color w:val="FF6600"/>
                <w:sz w:val="18"/>
              </w:rPr>
              <w:t>伤残 赔 </w:t>
            </w:r>
          </w:p>
          <w:p>
            <w:pPr>
              <w:pStyle w:val="TableParagraph"/>
              <w:spacing w:before="46"/>
              <w:rPr>
                <w:b/>
                <w:sz w:val="18"/>
              </w:rPr>
            </w:pPr>
            <w:r>
              <w:rPr>
                <w:b/>
                <w:color w:val="FF6600"/>
                <w:sz w:val="18"/>
              </w:rPr>
              <w:t>偿金</w:t>
            </w:r>
          </w:p>
        </w:tc>
        <w:tc>
          <w:tcPr>
            <w:tcW w:w="994" w:type="dxa"/>
          </w:tcPr>
          <w:p>
            <w:pPr>
              <w:pStyle w:val="TableParagraph"/>
              <w:spacing w:before="82"/>
              <w:rPr>
                <w:rFonts w:ascii="华文楷体" w:eastAsia="华文楷体" w:hint="eastAsia"/>
                <w:sz w:val="28"/>
              </w:rPr>
            </w:pPr>
            <w:r>
              <w:rPr>
                <w:rFonts w:ascii="华文楷体" w:eastAsia="华文楷体" w:hint="eastAsia"/>
                <w:sz w:val="28"/>
              </w:rPr>
              <w:t>一级</w:t>
            </w:r>
          </w:p>
        </w:tc>
        <w:tc>
          <w:tcPr>
            <w:tcW w:w="992" w:type="dxa"/>
          </w:tcPr>
          <w:p>
            <w:pPr>
              <w:pStyle w:val="TableParagraph"/>
              <w:spacing w:before="82"/>
              <w:rPr>
                <w:rFonts w:ascii="华文楷体" w:eastAsia="华文楷体" w:hint="eastAsia"/>
                <w:sz w:val="28"/>
              </w:rPr>
            </w:pPr>
            <w:r>
              <w:rPr>
                <w:rFonts w:ascii="华文楷体" w:eastAsia="华文楷体" w:hint="eastAsia"/>
                <w:sz w:val="28"/>
              </w:rPr>
              <w:t>二级</w:t>
            </w:r>
          </w:p>
        </w:tc>
        <w:tc>
          <w:tcPr>
            <w:tcW w:w="853" w:type="dxa"/>
          </w:tcPr>
          <w:p>
            <w:pPr>
              <w:pStyle w:val="TableParagraph"/>
              <w:spacing w:before="82"/>
              <w:ind w:left="106"/>
              <w:rPr>
                <w:rFonts w:ascii="华文楷体" w:eastAsia="华文楷体" w:hint="eastAsia"/>
                <w:sz w:val="28"/>
              </w:rPr>
            </w:pPr>
            <w:r>
              <w:rPr>
                <w:rFonts w:ascii="华文楷体" w:eastAsia="华文楷体" w:hint="eastAsia"/>
                <w:sz w:val="28"/>
              </w:rPr>
              <w:t>三级</w:t>
            </w:r>
          </w:p>
        </w:tc>
        <w:tc>
          <w:tcPr>
            <w:tcW w:w="851" w:type="dxa"/>
          </w:tcPr>
          <w:p>
            <w:pPr>
              <w:pStyle w:val="TableParagraph"/>
              <w:spacing w:before="82"/>
              <w:ind w:left="55" w:right="126"/>
              <w:jc w:val="center"/>
              <w:rPr>
                <w:rFonts w:ascii="华文楷体" w:eastAsia="华文楷体" w:hint="eastAsia"/>
                <w:sz w:val="28"/>
              </w:rPr>
            </w:pPr>
            <w:r>
              <w:rPr>
                <w:rFonts w:ascii="华文楷体" w:eastAsia="华文楷体" w:hint="eastAsia"/>
                <w:sz w:val="28"/>
              </w:rPr>
              <w:t>四级</w:t>
            </w:r>
          </w:p>
        </w:tc>
        <w:tc>
          <w:tcPr>
            <w:tcW w:w="850" w:type="dxa"/>
          </w:tcPr>
          <w:p>
            <w:pPr>
              <w:pStyle w:val="TableParagraph"/>
              <w:spacing w:before="82"/>
              <w:ind w:left="104"/>
              <w:rPr>
                <w:rFonts w:ascii="华文楷体" w:eastAsia="华文楷体" w:hint="eastAsia"/>
                <w:sz w:val="28"/>
              </w:rPr>
            </w:pPr>
            <w:r>
              <w:rPr>
                <w:rFonts w:ascii="华文楷体" w:eastAsia="华文楷体" w:hint="eastAsia"/>
                <w:sz w:val="28"/>
              </w:rPr>
              <w:t>五级</w:t>
            </w:r>
          </w:p>
        </w:tc>
        <w:tc>
          <w:tcPr>
            <w:tcW w:w="852" w:type="dxa"/>
          </w:tcPr>
          <w:p>
            <w:pPr>
              <w:pStyle w:val="TableParagraph"/>
              <w:spacing w:before="82"/>
              <w:ind w:left="104"/>
              <w:rPr>
                <w:rFonts w:ascii="华文楷体" w:eastAsia="华文楷体" w:hint="eastAsia"/>
                <w:sz w:val="28"/>
              </w:rPr>
            </w:pPr>
            <w:r>
              <w:rPr>
                <w:rFonts w:ascii="华文楷体" w:eastAsia="华文楷体" w:hint="eastAsia"/>
                <w:sz w:val="28"/>
              </w:rPr>
              <w:t>六级</w:t>
            </w:r>
          </w:p>
        </w:tc>
        <w:tc>
          <w:tcPr>
            <w:tcW w:w="850" w:type="dxa"/>
          </w:tcPr>
          <w:p>
            <w:pPr>
              <w:pStyle w:val="TableParagraph"/>
              <w:spacing w:before="82"/>
              <w:ind w:left="55" w:right="127"/>
              <w:jc w:val="center"/>
              <w:rPr>
                <w:rFonts w:ascii="华文楷体" w:eastAsia="华文楷体" w:hint="eastAsia"/>
                <w:sz w:val="28"/>
              </w:rPr>
            </w:pPr>
            <w:r>
              <w:rPr>
                <w:rFonts w:ascii="华文楷体" w:eastAsia="华文楷体" w:hint="eastAsia"/>
                <w:sz w:val="28"/>
              </w:rPr>
              <w:t>七级</w:t>
            </w:r>
          </w:p>
        </w:tc>
        <w:tc>
          <w:tcPr>
            <w:tcW w:w="852" w:type="dxa"/>
          </w:tcPr>
          <w:p>
            <w:pPr>
              <w:pStyle w:val="TableParagraph"/>
              <w:spacing w:before="82"/>
              <w:ind w:left="103"/>
              <w:rPr>
                <w:rFonts w:ascii="华文楷体" w:eastAsia="华文楷体" w:hint="eastAsia"/>
                <w:sz w:val="28"/>
              </w:rPr>
            </w:pPr>
            <w:r>
              <w:rPr>
                <w:rFonts w:ascii="华文楷体" w:eastAsia="华文楷体" w:hint="eastAsia"/>
                <w:sz w:val="28"/>
              </w:rPr>
              <w:t>八级</w:t>
            </w:r>
          </w:p>
        </w:tc>
        <w:tc>
          <w:tcPr>
            <w:tcW w:w="850" w:type="dxa"/>
          </w:tcPr>
          <w:p>
            <w:pPr>
              <w:pStyle w:val="TableParagraph"/>
              <w:spacing w:before="82"/>
              <w:ind w:left="101"/>
              <w:rPr>
                <w:rFonts w:ascii="华文楷体" w:eastAsia="华文楷体" w:hint="eastAsia"/>
                <w:sz w:val="28"/>
              </w:rPr>
            </w:pPr>
            <w:r>
              <w:rPr>
                <w:rFonts w:ascii="华文楷体" w:eastAsia="华文楷体" w:hint="eastAsia"/>
                <w:sz w:val="28"/>
              </w:rPr>
              <w:t>九级</w:t>
            </w:r>
          </w:p>
        </w:tc>
        <w:tc>
          <w:tcPr>
            <w:tcW w:w="852" w:type="dxa"/>
          </w:tcPr>
          <w:p>
            <w:pPr>
              <w:pStyle w:val="TableParagraph"/>
              <w:spacing w:before="82"/>
              <w:ind w:left="84" w:right="154"/>
              <w:jc w:val="center"/>
              <w:rPr>
                <w:rFonts w:ascii="华文楷体" w:eastAsia="华文楷体" w:hint="eastAsia"/>
                <w:sz w:val="28"/>
              </w:rPr>
            </w:pPr>
            <w:r>
              <w:rPr>
                <w:rFonts w:ascii="华文楷体" w:eastAsia="华文楷体" w:hint="eastAsia"/>
                <w:sz w:val="28"/>
              </w:rPr>
              <w:t>十级</w:t>
            </w:r>
          </w:p>
        </w:tc>
        <w:tc>
          <w:tcPr>
            <w:tcW w:w="1558" w:type="dxa"/>
          </w:tcPr>
          <w:p>
            <w:pPr>
              <w:pStyle w:val="TableParagraph"/>
              <w:spacing w:before="82"/>
              <w:ind w:left="101"/>
              <w:rPr>
                <w:rFonts w:ascii="华文楷体" w:eastAsia="华文楷体" w:hint="eastAsia"/>
                <w:sz w:val="28"/>
              </w:rPr>
            </w:pPr>
            <w:r>
              <w:rPr>
                <w:rFonts w:ascii="华文楷体" w:eastAsia="华文楷体" w:hint="eastAsia"/>
                <w:sz w:val="28"/>
              </w:rPr>
              <w:t>参照标准</w:t>
            </w:r>
          </w:p>
        </w:tc>
        <w:tc>
          <w:tcPr>
            <w:tcW w:w="2699" w:type="dxa"/>
          </w:tcPr>
          <w:p>
            <w:pPr>
              <w:pStyle w:val="TableParagraph"/>
              <w:spacing w:before="82"/>
              <w:ind w:left="100"/>
              <w:rPr>
                <w:rFonts w:ascii="华文楷体" w:eastAsia="华文楷体" w:hint="eastAsia"/>
                <w:sz w:val="28"/>
              </w:rPr>
            </w:pPr>
            <w:r>
              <w:rPr>
                <w:rFonts w:ascii="华文楷体" w:eastAsia="华文楷体" w:hint="eastAsia"/>
                <w:sz w:val="28"/>
              </w:rPr>
              <w:t>备注</w:t>
            </w:r>
          </w:p>
        </w:tc>
      </w:tr>
      <w:tr>
        <w:trPr>
          <w:trHeight w:val="2808" w:hRule="atLeast"/>
        </w:trPr>
        <w:tc>
          <w:tcPr>
            <w:tcW w:w="675" w:type="dxa"/>
          </w:tcPr>
          <w:p>
            <w:pPr>
              <w:pStyle w:val="TableParagraph"/>
              <w:spacing w:line="254" w:lineRule="auto" w:before="9"/>
              <w:rPr>
                <w:rFonts w:ascii="华文楷体" w:eastAsia="华文楷体" w:hint="eastAsia"/>
                <w:sz w:val="18"/>
              </w:rPr>
            </w:pPr>
            <w:r>
              <w:rPr>
                <w:rFonts w:ascii="华文楷体" w:eastAsia="华文楷体" w:hint="eastAsia"/>
                <w:sz w:val="18"/>
              </w:rPr>
              <w:t>全 体居民</w:t>
            </w:r>
          </w:p>
        </w:tc>
        <w:tc>
          <w:tcPr>
            <w:tcW w:w="994" w:type="dxa"/>
          </w:tcPr>
          <w:p>
            <w:pPr>
              <w:pStyle w:val="TableParagraph"/>
              <w:spacing w:line="330" w:lineRule="exact"/>
              <w:rPr>
                <w:rFonts w:ascii="华文楷体"/>
                <w:sz w:val="21"/>
              </w:rPr>
            </w:pPr>
            <w:r>
              <w:rPr>
                <w:rFonts w:ascii="华文楷体"/>
                <w:sz w:val="21"/>
              </w:rPr>
              <w:t>997980</w:t>
            </w:r>
          </w:p>
        </w:tc>
        <w:tc>
          <w:tcPr>
            <w:tcW w:w="992" w:type="dxa"/>
          </w:tcPr>
          <w:p>
            <w:pPr>
              <w:pStyle w:val="TableParagraph"/>
              <w:spacing w:line="330" w:lineRule="exact"/>
              <w:rPr>
                <w:rFonts w:ascii="华文楷体"/>
                <w:sz w:val="21"/>
              </w:rPr>
            </w:pPr>
            <w:r>
              <w:rPr>
                <w:rFonts w:ascii="华文楷体"/>
                <w:sz w:val="21"/>
              </w:rPr>
              <w:t>898182</w:t>
            </w:r>
          </w:p>
        </w:tc>
        <w:tc>
          <w:tcPr>
            <w:tcW w:w="853" w:type="dxa"/>
          </w:tcPr>
          <w:p>
            <w:pPr>
              <w:pStyle w:val="TableParagraph"/>
              <w:spacing w:line="330" w:lineRule="exact"/>
              <w:ind w:left="106"/>
              <w:rPr>
                <w:rFonts w:ascii="华文楷体"/>
                <w:sz w:val="21"/>
              </w:rPr>
            </w:pPr>
            <w:r>
              <w:rPr>
                <w:rFonts w:ascii="华文楷体"/>
                <w:sz w:val="21"/>
              </w:rPr>
              <w:t>798384</w:t>
            </w:r>
          </w:p>
        </w:tc>
        <w:tc>
          <w:tcPr>
            <w:tcW w:w="851" w:type="dxa"/>
          </w:tcPr>
          <w:p>
            <w:pPr>
              <w:pStyle w:val="TableParagraph"/>
              <w:spacing w:line="330" w:lineRule="exact"/>
              <w:ind w:left="84" w:right="126"/>
              <w:jc w:val="center"/>
              <w:rPr>
                <w:rFonts w:ascii="华文楷体"/>
                <w:sz w:val="21"/>
              </w:rPr>
            </w:pPr>
            <w:r>
              <w:rPr>
                <w:rFonts w:ascii="华文楷体"/>
                <w:sz w:val="21"/>
              </w:rPr>
              <w:t>698586</w:t>
            </w:r>
          </w:p>
        </w:tc>
        <w:tc>
          <w:tcPr>
            <w:tcW w:w="850" w:type="dxa"/>
          </w:tcPr>
          <w:p>
            <w:pPr>
              <w:pStyle w:val="TableParagraph"/>
              <w:spacing w:line="330" w:lineRule="exact"/>
              <w:ind w:left="104"/>
              <w:rPr>
                <w:rFonts w:ascii="华文楷体"/>
                <w:sz w:val="21"/>
              </w:rPr>
            </w:pPr>
            <w:r>
              <w:rPr>
                <w:rFonts w:ascii="华文楷体"/>
                <w:sz w:val="21"/>
              </w:rPr>
              <w:t>598788</w:t>
            </w:r>
          </w:p>
        </w:tc>
        <w:tc>
          <w:tcPr>
            <w:tcW w:w="852" w:type="dxa"/>
          </w:tcPr>
          <w:p>
            <w:pPr>
              <w:pStyle w:val="TableParagraph"/>
              <w:spacing w:line="330" w:lineRule="exact"/>
              <w:ind w:left="104"/>
              <w:rPr>
                <w:rFonts w:ascii="华文楷体"/>
                <w:sz w:val="21"/>
              </w:rPr>
            </w:pPr>
            <w:r>
              <w:rPr>
                <w:rFonts w:ascii="华文楷体"/>
                <w:sz w:val="21"/>
              </w:rPr>
              <w:t>498990</w:t>
            </w:r>
          </w:p>
        </w:tc>
        <w:tc>
          <w:tcPr>
            <w:tcW w:w="850" w:type="dxa"/>
          </w:tcPr>
          <w:p>
            <w:pPr>
              <w:pStyle w:val="TableParagraph"/>
              <w:spacing w:line="330" w:lineRule="exact"/>
              <w:ind w:left="82" w:right="127"/>
              <w:jc w:val="center"/>
              <w:rPr>
                <w:rFonts w:ascii="华文楷体"/>
                <w:sz w:val="21"/>
              </w:rPr>
            </w:pPr>
            <w:r>
              <w:rPr>
                <w:rFonts w:ascii="华文楷体"/>
                <w:sz w:val="21"/>
              </w:rPr>
              <w:t>399192</w:t>
            </w:r>
          </w:p>
        </w:tc>
        <w:tc>
          <w:tcPr>
            <w:tcW w:w="852" w:type="dxa"/>
          </w:tcPr>
          <w:p>
            <w:pPr>
              <w:pStyle w:val="TableParagraph"/>
              <w:spacing w:line="330" w:lineRule="exact"/>
              <w:ind w:left="103"/>
              <w:rPr>
                <w:rFonts w:ascii="华文楷体"/>
                <w:sz w:val="21"/>
              </w:rPr>
            </w:pPr>
            <w:r>
              <w:rPr>
                <w:rFonts w:ascii="华文楷体"/>
                <w:sz w:val="21"/>
              </w:rPr>
              <w:t>299394</w:t>
            </w:r>
          </w:p>
        </w:tc>
        <w:tc>
          <w:tcPr>
            <w:tcW w:w="850" w:type="dxa"/>
          </w:tcPr>
          <w:p>
            <w:pPr>
              <w:pStyle w:val="TableParagraph"/>
              <w:spacing w:line="330" w:lineRule="exact"/>
              <w:ind w:left="101"/>
              <w:rPr>
                <w:rFonts w:ascii="华文楷体"/>
                <w:sz w:val="21"/>
              </w:rPr>
            </w:pPr>
            <w:r>
              <w:rPr>
                <w:rFonts w:ascii="华文楷体"/>
                <w:sz w:val="21"/>
              </w:rPr>
              <w:t>199596</w:t>
            </w:r>
          </w:p>
        </w:tc>
        <w:tc>
          <w:tcPr>
            <w:tcW w:w="852" w:type="dxa"/>
          </w:tcPr>
          <w:p>
            <w:pPr>
              <w:pStyle w:val="TableParagraph"/>
              <w:spacing w:line="330" w:lineRule="exact"/>
              <w:ind w:left="16" w:right="156"/>
              <w:jc w:val="center"/>
              <w:rPr>
                <w:rFonts w:ascii="华文楷体"/>
                <w:sz w:val="21"/>
              </w:rPr>
            </w:pPr>
            <w:r>
              <w:rPr>
                <w:rFonts w:ascii="华文楷体"/>
                <w:sz w:val="21"/>
              </w:rPr>
              <w:t>99798</w:t>
            </w:r>
          </w:p>
        </w:tc>
        <w:tc>
          <w:tcPr>
            <w:tcW w:w="1558" w:type="dxa"/>
          </w:tcPr>
          <w:p>
            <w:pPr>
              <w:pStyle w:val="TableParagraph"/>
              <w:spacing w:line="324" w:lineRule="auto" w:before="40"/>
              <w:ind w:left="101" w:right="101"/>
              <w:jc w:val="both"/>
              <w:rPr>
                <w:sz w:val="18"/>
              </w:rPr>
            </w:pPr>
            <w:r>
              <w:rPr>
                <w:sz w:val="18"/>
              </w:rPr>
              <w:t>上一年度浙江省全体居民人均可支配收入 49899 元</w:t>
            </w:r>
          </w:p>
        </w:tc>
        <w:tc>
          <w:tcPr>
            <w:tcW w:w="2699" w:type="dxa"/>
          </w:tcPr>
          <w:p>
            <w:pPr>
              <w:pStyle w:val="TableParagraph"/>
              <w:spacing w:line="324" w:lineRule="auto" w:before="40"/>
              <w:ind w:left="100" w:right="104"/>
              <w:jc w:val="both"/>
              <w:rPr>
                <w:sz w:val="18"/>
              </w:rPr>
            </w:pPr>
            <w:r>
              <w:rPr>
                <w:spacing w:val="6"/>
                <w:sz w:val="18"/>
              </w:rPr>
              <w:t>1</w:t>
            </w:r>
            <w:r>
              <w:rPr>
                <w:sz w:val="18"/>
              </w:rPr>
              <w:t>、六十周岁以上的，年龄每增</w:t>
            </w:r>
            <w:r>
              <w:rPr>
                <w:spacing w:val="-6"/>
                <w:sz w:val="18"/>
              </w:rPr>
              <w:t>加一岁减少一年；七十五周岁以</w:t>
            </w:r>
            <w:r>
              <w:rPr>
                <w:sz w:val="18"/>
              </w:rPr>
              <w:t>上的，按五年计算。</w:t>
            </w:r>
          </w:p>
          <w:p>
            <w:pPr>
              <w:pStyle w:val="TableParagraph"/>
              <w:spacing w:line="324" w:lineRule="auto" w:before="2"/>
              <w:ind w:left="100" w:right="14"/>
              <w:rPr>
                <w:sz w:val="18"/>
              </w:rPr>
            </w:pPr>
            <w:r>
              <w:rPr>
                <w:spacing w:val="6"/>
                <w:sz w:val="18"/>
              </w:rPr>
              <w:t>2</w:t>
            </w:r>
            <w:r>
              <w:rPr>
                <w:sz w:val="18"/>
              </w:rPr>
              <w:t>、多处致残：以最高等级系数</w:t>
            </w:r>
            <w:r>
              <w:rPr>
                <w:spacing w:val="-2"/>
                <w:sz w:val="18"/>
              </w:rPr>
              <w:t>为基数，其他伤残为 </w:t>
            </w:r>
            <w:r>
              <w:rPr>
                <w:sz w:val="18"/>
              </w:rPr>
              <w:t>2－5</w:t>
            </w:r>
            <w:r>
              <w:rPr>
                <w:spacing w:val="-7"/>
                <w:sz w:val="18"/>
              </w:rPr>
              <w:t> 级， </w:t>
            </w:r>
            <w:r>
              <w:rPr>
                <w:spacing w:val="-13"/>
                <w:sz w:val="18"/>
              </w:rPr>
              <w:t>每级系数增加 </w:t>
            </w:r>
            <w:r>
              <w:rPr>
                <w:spacing w:val="-6"/>
                <w:sz w:val="18"/>
              </w:rPr>
              <w:t>4％；6－10</w:t>
            </w:r>
            <w:r>
              <w:rPr>
                <w:spacing w:val="-15"/>
                <w:sz w:val="18"/>
              </w:rPr>
              <w:t> 级的， </w:t>
            </w:r>
            <w:r>
              <w:rPr>
                <w:spacing w:val="-6"/>
                <w:sz w:val="18"/>
              </w:rPr>
              <w:t>每级系数增加 </w:t>
            </w:r>
            <w:r>
              <w:rPr>
                <w:sz w:val="18"/>
              </w:rPr>
              <w:t>2％，以上增加的</w:t>
            </w:r>
            <w:r>
              <w:rPr>
                <w:spacing w:val="-6"/>
                <w:sz w:val="18"/>
              </w:rPr>
              <w:t>比例合计不超过 </w:t>
            </w:r>
            <w:r>
              <w:rPr>
                <w:spacing w:val="1"/>
                <w:sz w:val="18"/>
              </w:rPr>
              <w:t>10</w:t>
            </w:r>
            <w:r>
              <w:rPr>
                <w:spacing w:val="-15"/>
                <w:sz w:val="18"/>
              </w:rPr>
              <w:t>％，最高赔偿</w:t>
            </w:r>
          </w:p>
          <w:p>
            <w:pPr>
              <w:pStyle w:val="TableParagraph"/>
              <w:spacing w:before="4"/>
              <w:ind w:left="100"/>
              <w:rPr>
                <w:sz w:val="18"/>
              </w:rPr>
            </w:pPr>
            <w:r>
              <w:rPr>
                <w:sz w:val="18"/>
              </w:rPr>
              <w:t>系数为 100％</w:t>
            </w:r>
          </w:p>
        </w:tc>
      </w:tr>
      <w:tr>
        <w:trPr>
          <w:trHeight w:val="623" w:hRule="atLeast"/>
        </w:trPr>
        <w:tc>
          <w:tcPr>
            <w:tcW w:w="11029" w:type="dxa"/>
            <w:gridSpan w:val="12"/>
          </w:tcPr>
          <w:p>
            <w:pPr>
              <w:pStyle w:val="TableParagraph"/>
              <w:spacing w:line="330" w:lineRule="exact"/>
              <w:ind w:left="1370"/>
              <w:rPr>
                <w:rFonts w:ascii="华文楷体" w:eastAsia="华文楷体" w:hint="eastAsia"/>
                <w:sz w:val="21"/>
              </w:rPr>
            </w:pPr>
            <w:r>
              <w:rPr>
                <w:rFonts w:ascii="华文楷体" w:eastAsia="华文楷体" w:hint="eastAsia"/>
                <w:sz w:val="21"/>
              </w:rPr>
              <w:t>计算公式：赔偿金额=基数 X20 年 X[(11－级数)10]%</w:t>
            </w:r>
          </w:p>
        </w:tc>
        <w:tc>
          <w:tcPr>
            <w:tcW w:w="2699" w:type="dxa"/>
          </w:tcPr>
          <w:p>
            <w:pPr>
              <w:pStyle w:val="TableParagraph"/>
              <w:ind w:left="0"/>
              <w:rPr>
                <w:rFonts w:ascii="Times New Roman"/>
                <w:sz w:val="18"/>
              </w:rPr>
            </w:pPr>
          </w:p>
        </w:tc>
      </w:tr>
      <w:tr>
        <w:trPr>
          <w:trHeight w:val="1559" w:hRule="atLeast"/>
        </w:trPr>
        <w:tc>
          <w:tcPr>
            <w:tcW w:w="11029" w:type="dxa"/>
            <w:gridSpan w:val="12"/>
          </w:tcPr>
          <w:p>
            <w:pPr>
              <w:pStyle w:val="TableParagraph"/>
              <w:spacing w:line="278" w:lineRule="auto" w:before="9"/>
              <w:ind w:right="98"/>
              <w:rPr>
                <w:sz w:val="18"/>
              </w:rPr>
            </w:pPr>
            <w:r>
              <w:rPr>
                <w:rFonts w:ascii="华文楷体" w:eastAsia="华文楷体" w:hint="eastAsia"/>
                <w:sz w:val="18"/>
              </w:rPr>
              <w:t>2</w:t>
            </w:r>
            <w:r>
              <w:rPr>
                <w:rFonts w:ascii="华文楷体" w:eastAsia="华文楷体" w:hint="eastAsia"/>
                <w:spacing w:val="-17"/>
                <w:sz w:val="18"/>
              </w:rPr>
              <w:t>、</w:t>
            </w:r>
            <w:r>
              <w:rPr>
                <w:b/>
                <w:color w:val="FF6600"/>
                <w:spacing w:val="-4"/>
                <w:sz w:val="18"/>
              </w:rPr>
              <w:t>医疗费：</w:t>
            </w:r>
            <w:r>
              <w:rPr>
                <w:spacing w:val="-5"/>
                <w:sz w:val="18"/>
              </w:rPr>
              <w:t>根据医疗机构出具的医药费、住院费等收款凭证，结合病历和诊断证明等相关证据确定。赔偿义务人对治疗的必要性和合理性有异议的，应当承担相应的举证责任。</w:t>
            </w:r>
            <w:r>
              <w:rPr>
                <w:spacing w:val="-5"/>
                <w:sz w:val="18"/>
                <w:u w:val="single"/>
              </w:rPr>
              <w:t>医疗费的赔偿数额，按照一审法庭辩论终结前实际发生的数额确定。</w:t>
            </w:r>
            <w:r>
              <w:rPr>
                <w:spacing w:val="-6"/>
                <w:sz w:val="18"/>
              </w:rPr>
              <w:t>器官功能恢复训练所必要的康</w:t>
            </w:r>
          </w:p>
          <w:p>
            <w:pPr>
              <w:pStyle w:val="TableParagraph"/>
              <w:spacing w:line="324" w:lineRule="auto" w:before="45"/>
              <w:ind w:right="100"/>
              <w:rPr>
                <w:sz w:val="18"/>
              </w:rPr>
            </w:pPr>
            <w:r>
              <w:rPr>
                <w:sz w:val="18"/>
              </w:rPr>
              <w:t>复费、适当的整容费以及其他后续治疗费，赔偿权利人可以待实际发生后另行起诉。但根据医疗证明或者鉴定结论确定必然发生的费用， 可以与已经发生的医疗费一并予以赔偿。</w:t>
            </w:r>
          </w:p>
        </w:tc>
        <w:tc>
          <w:tcPr>
            <w:tcW w:w="2699" w:type="dxa"/>
          </w:tcPr>
          <w:p>
            <w:pPr>
              <w:pStyle w:val="TableParagraph"/>
              <w:spacing w:line="324" w:lineRule="auto" w:before="40"/>
              <w:ind w:left="100" w:right="101"/>
              <w:jc w:val="both"/>
              <w:rPr>
                <w:sz w:val="18"/>
              </w:rPr>
            </w:pPr>
            <w:r>
              <w:rPr>
                <w:spacing w:val="6"/>
                <w:sz w:val="18"/>
              </w:rPr>
              <w:t>3</w:t>
            </w:r>
            <w:r>
              <w:rPr>
                <w:sz w:val="18"/>
              </w:rPr>
              <w:t>、简言之：凭医疗发票。作为</w:t>
            </w:r>
            <w:r>
              <w:rPr>
                <w:spacing w:val="-7"/>
                <w:sz w:val="18"/>
              </w:rPr>
              <w:t>被告方，对医疗费有异议的，可</w:t>
            </w:r>
            <w:r>
              <w:rPr>
                <w:spacing w:val="-4"/>
                <w:sz w:val="18"/>
              </w:rPr>
              <w:t>以申请法院对医疗费合理性、医</w:t>
            </w:r>
            <w:r>
              <w:rPr>
                <w:spacing w:val="-9"/>
                <w:sz w:val="18"/>
              </w:rPr>
              <w:t>疗行为与事故关联性、</w:t>
            </w:r>
            <w:r>
              <w:rPr>
                <w:sz w:val="18"/>
              </w:rPr>
              <w:t>xx</w:t>
            </w:r>
            <w:r>
              <w:rPr>
                <w:spacing w:val="-15"/>
                <w:sz w:val="18"/>
              </w:rPr>
              <w:t> 病症与</w:t>
            </w:r>
          </w:p>
          <w:p>
            <w:pPr>
              <w:pStyle w:val="TableParagraph"/>
              <w:spacing w:before="3"/>
              <w:ind w:left="100"/>
              <w:rPr>
                <w:sz w:val="18"/>
              </w:rPr>
            </w:pPr>
            <w:r>
              <w:rPr>
                <w:sz w:val="18"/>
              </w:rPr>
              <w:t>事故关联性予以委托鉴定。</w:t>
            </w:r>
          </w:p>
        </w:tc>
      </w:tr>
      <w:tr>
        <w:trPr>
          <w:trHeight w:val="1248" w:hRule="atLeast"/>
        </w:trPr>
        <w:tc>
          <w:tcPr>
            <w:tcW w:w="11029" w:type="dxa"/>
            <w:gridSpan w:val="12"/>
          </w:tcPr>
          <w:p>
            <w:pPr>
              <w:pStyle w:val="TableParagraph"/>
              <w:spacing w:before="10"/>
              <w:rPr>
                <w:sz w:val="18"/>
              </w:rPr>
            </w:pPr>
            <w:r>
              <w:rPr>
                <w:rFonts w:ascii="华文楷体" w:eastAsia="华文楷体" w:hint="eastAsia"/>
                <w:sz w:val="18"/>
              </w:rPr>
              <w:t>3、</w:t>
            </w:r>
            <w:r>
              <w:rPr>
                <w:b/>
                <w:color w:val="FF6600"/>
                <w:sz w:val="18"/>
              </w:rPr>
              <w:t>误工费</w:t>
            </w:r>
            <w:r>
              <w:rPr>
                <w:sz w:val="18"/>
              </w:rPr>
              <w:t>根据受害人的误工时间和收入状况确定。</w:t>
            </w:r>
          </w:p>
          <w:p>
            <w:pPr>
              <w:pStyle w:val="TableParagraph"/>
              <w:spacing w:before="48"/>
              <w:ind w:left="453"/>
              <w:rPr>
                <w:sz w:val="18"/>
              </w:rPr>
            </w:pPr>
            <w:r>
              <w:rPr>
                <w:sz w:val="18"/>
              </w:rPr>
              <w:t>误工时间根据受害人接受治疗的医疗机构出具的证明确定。受害人因伤致残持续误工的，误工时间可以计算至定残日前一天。</w:t>
            </w:r>
          </w:p>
          <w:p>
            <w:pPr>
              <w:pStyle w:val="TableParagraph"/>
              <w:spacing w:line="310" w:lineRule="atLeast" w:before="1"/>
              <w:ind w:right="100" w:firstLine="360"/>
              <w:rPr>
                <w:sz w:val="18"/>
              </w:rPr>
            </w:pPr>
            <w:r>
              <w:rPr>
                <w:sz w:val="18"/>
              </w:rPr>
              <w:t>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tc>
        <w:tc>
          <w:tcPr>
            <w:tcW w:w="2699" w:type="dxa"/>
          </w:tcPr>
          <w:p>
            <w:pPr>
              <w:pStyle w:val="TableParagraph"/>
              <w:spacing w:line="324" w:lineRule="auto" w:before="41"/>
              <w:ind w:left="100" w:right="47"/>
              <w:rPr>
                <w:sz w:val="18"/>
              </w:rPr>
            </w:pPr>
            <w:r>
              <w:rPr>
                <w:sz w:val="18"/>
              </w:rPr>
              <w:t>4、</w:t>
            </w:r>
            <w:r>
              <w:rPr>
                <w:color w:val="FF0000"/>
                <w:sz w:val="18"/>
              </w:rPr>
              <w:t>2019 年浙江省在岗职工年平均工资 72078 元。</w:t>
            </w:r>
          </w:p>
        </w:tc>
      </w:tr>
      <w:tr>
        <w:trPr>
          <w:trHeight w:val="1559" w:hRule="atLeast"/>
        </w:trPr>
        <w:tc>
          <w:tcPr>
            <w:tcW w:w="11029" w:type="dxa"/>
            <w:gridSpan w:val="12"/>
            <w:tcBorders>
              <w:bottom w:val="single" w:sz="6" w:space="0" w:color="000000"/>
            </w:tcBorders>
          </w:tcPr>
          <w:p>
            <w:pPr>
              <w:pStyle w:val="TableParagraph"/>
              <w:spacing w:line="302" w:lineRule="auto" w:before="9"/>
              <w:ind w:right="98"/>
              <w:jc w:val="both"/>
              <w:rPr>
                <w:sz w:val="18"/>
              </w:rPr>
            </w:pPr>
            <w:r>
              <w:rPr>
                <w:rFonts w:ascii="华文楷体" w:eastAsia="华文楷体" w:hint="eastAsia"/>
                <w:sz w:val="18"/>
              </w:rPr>
              <w:t>4</w:t>
            </w:r>
            <w:r>
              <w:rPr>
                <w:rFonts w:ascii="华文楷体" w:eastAsia="华文楷体" w:hint="eastAsia"/>
                <w:spacing w:val="-17"/>
                <w:sz w:val="18"/>
              </w:rPr>
              <w:t>、</w:t>
            </w:r>
            <w:r>
              <w:rPr>
                <w:b/>
                <w:color w:val="FF6600"/>
                <w:sz w:val="18"/>
              </w:rPr>
              <w:t>护理费</w:t>
            </w:r>
            <w:r>
              <w:rPr>
                <w:spacing w:val="-3"/>
                <w:sz w:val="18"/>
              </w:rPr>
              <w:t>根据护理人员的收入状况和护理人数、护理期限确定。护理人员有收入的，</w:t>
            </w:r>
            <w:r>
              <w:rPr>
                <w:color w:val="FF0000"/>
                <w:sz w:val="18"/>
              </w:rPr>
              <w:t>参照误工费的规定计算</w:t>
            </w:r>
            <w:r>
              <w:rPr>
                <w:spacing w:val="-5"/>
                <w:sz w:val="18"/>
              </w:rPr>
              <w:t>；护理人员没有收入或者雇佣</w:t>
            </w:r>
            <w:r>
              <w:rPr>
                <w:sz w:val="18"/>
              </w:rPr>
              <w:t>护工的，</w:t>
            </w:r>
            <w:r>
              <w:rPr>
                <w:color w:val="FF0000"/>
                <w:sz w:val="18"/>
              </w:rPr>
              <w:t>参照当地护工从事同等级别护理的劳务报酬标准计算</w:t>
            </w:r>
            <w:r>
              <w:rPr>
                <w:spacing w:val="-1"/>
                <w:sz w:val="18"/>
              </w:rPr>
              <w:t>。护理人员原则上为一人，但医疗机构或者鉴定机构有明确意见的，可以参</w:t>
            </w:r>
            <w:r>
              <w:rPr>
                <w:sz w:val="18"/>
              </w:rPr>
              <w:t>照确定护理人员人数。</w:t>
            </w:r>
          </w:p>
          <w:p>
            <w:pPr>
              <w:pStyle w:val="TableParagraph"/>
              <w:spacing w:before="14"/>
              <w:ind w:left="468"/>
              <w:rPr>
                <w:sz w:val="18"/>
              </w:rPr>
            </w:pPr>
            <w:r>
              <w:rPr>
                <w:sz w:val="18"/>
              </w:rPr>
              <w:t>护理期限应计算至受害人恢复生活自理能力时止。受害人因残疾不能恢复生活自理能力的，可以根据其年龄、健康状况等因素确定合</w:t>
            </w:r>
          </w:p>
          <w:p>
            <w:pPr>
              <w:pStyle w:val="TableParagraph"/>
              <w:spacing w:before="82"/>
              <w:rPr>
                <w:sz w:val="18"/>
              </w:rPr>
            </w:pPr>
            <w:r>
              <w:rPr>
                <w:sz w:val="18"/>
              </w:rPr>
              <w:t>理的护理期限，但最长不超过二十年。</w:t>
            </w:r>
          </w:p>
        </w:tc>
        <w:tc>
          <w:tcPr>
            <w:tcW w:w="2699" w:type="dxa"/>
            <w:tcBorders>
              <w:bottom w:val="single" w:sz="6" w:space="0" w:color="000000"/>
            </w:tcBorders>
          </w:tcPr>
          <w:p>
            <w:pPr>
              <w:pStyle w:val="TableParagraph"/>
              <w:spacing w:line="324" w:lineRule="auto" w:before="40"/>
              <w:ind w:left="100" w:right="103"/>
              <w:jc w:val="both"/>
              <w:rPr>
                <w:sz w:val="18"/>
              </w:rPr>
            </w:pPr>
            <w:r>
              <w:rPr>
                <w:sz w:val="18"/>
              </w:rPr>
              <w:t>5</w:t>
            </w:r>
            <w:r>
              <w:rPr>
                <w:spacing w:val="-8"/>
                <w:sz w:val="18"/>
              </w:rPr>
              <w:t>、误工费计算公式：误工费=年</w:t>
            </w:r>
            <w:r>
              <w:rPr>
                <w:sz w:val="18"/>
              </w:rPr>
              <w:t>工资额/</w:t>
            </w:r>
            <w:r>
              <w:rPr>
                <w:spacing w:val="-7"/>
                <w:sz w:val="18"/>
              </w:rPr>
              <w:t>年天数</w:t>
            </w:r>
            <w:r>
              <w:rPr>
                <w:spacing w:val="-4"/>
                <w:sz w:val="18"/>
              </w:rPr>
              <w:t>（365）</w:t>
            </w:r>
            <w:r>
              <w:rPr>
                <w:spacing w:val="-6"/>
                <w:sz w:val="18"/>
              </w:rPr>
              <w:t>×误工天</w:t>
            </w:r>
            <w:r>
              <w:rPr>
                <w:sz w:val="18"/>
              </w:rPr>
              <w:t>数。</w:t>
            </w:r>
          </w:p>
        </w:tc>
      </w:tr>
    </w:tbl>
    <w:p>
      <w:pPr>
        <w:spacing w:after="0" w:line="324" w:lineRule="auto"/>
        <w:jc w:val="both"/>
        <w:rPr>
          <w:sz w:val="18"/>
        </w:rPr>
        <w:sectPr>
          <w:type w:val="continuous"/>
          <w:pgSz w:w="16840" w:h="11910" w:orient="landscape"/>
          <w:pgMar w:top="540" w:bottom="280" w:left="1340" w:right="12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6238"/>
        <w:gridCol w:w="4111"/>
        <w:gridCol w:w="2698"/>
      </w:tblGrid>
      <w:tr>
        <w:trPr>
          <w:trHeight w:val="556" w:hRule="atLeast"/>
        </w:trPr>
        <w:tc>
          <w:tcPr>
            <w:tcW w:w="11024" w:type="dxa"/>
            <w:gridSpan w:val="3"/>
          </w:tcPr>
          <w:p>
            <w:pPr>
              <w:pStyle w:val="TableParagraph"/>
              <w:spacing w:before="32"/>
              <w:ind w:left="468"/>
              <w:rPr>
                <w:sz w:val="18"/>
              </w:rPr>
            </w:pPr>
            <w:r>
              <w:rPr>
                <w:sz w:val="18"/>
              </w:rPr>
              <w:t>受害人定残后的护理，应当根据其护理依赖程度并结合配制残疾辅助器具的情况确定护理级别。</w:t>
            </w:r>
          </w:p>
        </w:tc>
        <w:tc>
          <w:tcPr>
            <w:tcW w:w="2698" w:type="dxa"/>
          </w:tcPr>
          <w:p>
            <w:pPr>
              <w:pStyle w:val="TableParagraph"/>
              <w:ind w:left="0"/>
              <w:rPr>
                <w:rFonts w:ascii="Times New Roman"/>
                <w:sz w:val="18"/>
              </w:rPr>
            </w:pPr>
          </w:p>
        </w:tc>
      </w:tr>
      <w:tr>
        <w:trPr>
          <w:trHeight w:val="626" w:hRule="atLeast"/>
        </w:trPr>
        <w:tc>
          <w:tcPr>
            <w:tcW w:w="11024" w:type="dxa"/>
            <w:gridSpan w:val="3"/>
          </w:tcPr>
          <w:p>
            <w:pPr>
              <w:pStyle w:val="TableParagraph"/>
              <w:spacing w:line="280" w:lineRule="atLeast" w:before="4"/>
              <w:ind w:right="96"/>
              <w:rPr>
                <w:sz w:val="18"/>
              </w:rPr>
            </w:pPr>
            <w:r>
              <w:rPr>
                <w:rFonts w:ascii="华文楷体" w:eastAsia="华文楷体" w:hint="eastAsia"/>
                <w:sz w:val="18"/>
              </w:rPr>
              <w:t>5</w:t>
            </w:r>
            <w:r>
              <w:rPr>
                <w:rFonts w:ascii="华文楷体" w:eastAsia="华文楷体" w:hint="eastAsia"/>
                <w:spacing w:val="-26"/>
                <w:sz w:val="18"/>
              </w:rPr>
              <w:t>、</w:t>
            </w:r>
            <w:r>
              <w:rPr>
                <w:b/>
                <w:color w:val="FF6600"/>
                <w:sz w:val="18"/>
              </w:rPr>
              <w:t>交通费</w:t>
            </w:r>
            <w:r>
              <w:rPr>
                <w:spacing w:val="-4"/>
                <w:sz w:val="18"/>
              </w:rPr>
              <w:t>根据受害人及其必要的陪护人员因就医或者转院治疗实际发生的费用计算。交通费应当以正式票据为凭；有关凭据应当与就医地</w:t>
            </w:r>
            <w:r>
              <w:rPr>
                <w:sz w:val="18"/>
              </w:rPr>
              <w:t>点、时间、人数、次数相符合。</w:t>
            </w:r>
          </w:p>
        </w:tc>
        <w:tc>
          <w:tcPr>
            <w:tcW w:w="2698" w:type="dxa"/>
          </w:tcPr>
          <w:p>
            <w:pPr>
              <w:pStyle w:val="TableParagraph"/>
              <w:spacing w:before="35"/>
              <w:ind w:left="105"/>
              <w:rPr>
                <w:sz w:val="18"/>
              </w:rPr>
            </w:pPr>
            <w:r>
              <w:rPr>
                <w:sz w:val="18"/>
              </w:rPr>
              <w:t>6、凭发票</w:t>
            </w:r>
          </w:p>
        </w:tc>
      </w:tr>
      <w:tr>
        <w:trPr>
          <w:trHeight w:val="623" w:hRule="atLeast"/>
        </w:trPr>
        <w:tc>
          <w:tcPr>
            <w:tcW w:w="11024" w:type="dxa"/>
            <w:gridSpan w:val="3"/>
          </w:tcPr>
          <w:p>
            <w:pPr>
              <w:pStyle w:val="TableParagraph"/>
              <w:spacing w:before="1"/>
              <w:rPr>
                <w:sz w:val="18"/>
              </w:rPr>
            </w:pPr>
            <w:r>
              <w:rPr>
                <w:rFonts w:ascii="华文楷体" w:eastAsia="华文楷体" w:hint="eastAsia"/>
                <w:sz w:val="18"/>
              </w:rPr>
              <w:t>6、</w:t>
            </w:r>
            <w:r>
              <w:rPr>
                <w:b/>
                <w:color w:val="FF6600"/>
                <w:sz w:val="18"/>
              </w:rPr>
              <w:t>住院伙食补助费</w:t>
            </w:r>
            <w:r>
              <w:rPr>
                <w:sz w:val="18"/>
              </w:rPr>
              <w:t>可以参照当地国家机关一般工作人员的出差伙食补助标准予以确定。</w:t>
            </w:r>
          </w:p>
        </w:tc>
        <w:tc>
          <w:tcPr>
            <w:tcW w:w="2698" w:type="dxa"/>
          </w:tcPr>
          <w:p>
            <w:pPr>
              <w:pStyle w:val="TableParagraph"/>
              <w:spacing w:before="32"/>
              <w:ind w:left="105"/>
              <w:rPr>
                <w:sz w:val="18"/>
              </w:rPr>
            </w:pPr>
            <w:r>
              <w:rPr>
                <w:sz w:val="18"/>
              </w:rPr>
              <w:t>7、100 元/天，ps：住院费用中</w:t>
            </w:r>
          </w:p>
          <w:p>
            <w:pPr>
              <w:pStyle w:val="TableParagraph"/>
              <w:spacing w:before="82"/>
              <w:ind w:left="105"/>
              <w:rPr>
                <w:sz w:val="18"/>
              </w:rPr>
            </w:pPr>
            <w:r>
              <w:rPr>
                <w:sz w:val="18"/>
              </w:rPr>
              <w:t>可能含有伙食费</w:t>
            </w:r>
          </w:p>
        </w:tc>
      </w:tr>
      <w:tr>
        <w:trPr>
          <w:trHeight w:val="556" w:hRule="atLeast"/>
        </w:trPr>
        <w:tc>
          <w:tcPr>
            <w:tcW w:w="11024" w:type="dxa"/>
            <w:gridSpan w:val="3"/>
          </w:tcPr>
          <w:p>
            <w:pPr>
              <w:pStyle w:val="TableParagraph"/>
              <w:spacing w:before="1"/>
              <w:rPr>
                <w:sz w:val="18"/>
              </w:rPr>
            </w:pPr>
            <w:r>
              <w:rPr>
                <w:rFonts w:ascii="华文楷体" w:eastAsia="华文楷体" w:hint="eastAsia"/>
                <w:sz w:val="18"/>
              </w:rPr>
              <w:t>7、</w:t>
            </w:r>
            <w:r>
              <w:rPr>
                <w:b/>
                <w:color w:val="FF6600"/>
                <w:sz w:val="18"/>
              </w:rPr>
              <w:t>营养费</w:t>
            </w:r>
            <w:r>
              <w:rPr>
                <w:sz w:val="18"/>
              </w:rPr>
              <w:t>根据受害人伤残情况参照医疗机构的意见确定。</w:t>
            </w:r>
          </w:p>
        </w:tc>
        <w:tc>
          <w:tcPr>
            <w:tcW w:w="2698" w:type="dxa"/>
          </w:tcPr>
          <w:p>
            <w:pPr>
              <w:pStyle w:val="TableParagraph"/>
              <w:spacing w:before="32"/>
              <w:ind w:left="105"/>
              <w:rPr>
                <w:sz w:val="18"/>
              </w:rPr>
            </w:pPr>
            <w:r>
              <w:rPr>
                <w:sz w:val="18"/>
              </w:rPr>
              <w:t>8、凭医疗诊断证明、鉴定建议</w:t>
            </w:r>
          </w:p>
        </w:tc>
      </w:tr>
      <w:tr>
        <w:trPr>
          <w:trHeight w:val="938" w:hRule="atLeast"/>
        </w:trPr>
        <w:tc>
          <w:tcPr>
            <w:tcW w:w="11024" w:type="dxa"/>
            <w:gridSpan w:val="3"/>
          </w:tcPr>
          <w:p>
            <w:pPr>
              <w:pStyle w:val="TableParagraph"/>
              <w:spacing w:line="278" w:lineRule="auto" w:before="3"/>
              <w:ind w:right="94"/>
              <w:rPr>
                <w:sz w:val="18"/>
              </w:rPr>
            </w:pPr>
            <w:r>
              <w:rPr>
                <w:rFonts w:ascii="华文楷体" w:eastAsia="华文楷体" w:hint="eastAsia"/>
                <w:sz w:val="18"/>
              </w:rPr>
              <w:t>8</w:t>
            </w:r>
            <w:r>
              <w:rPr>
                <w:rFonts w:ascii="华文楷体" w:eastAsia="华文楷体" w:hint="eastAsia"/>
                <w:spacing w:val="-26"/>
                <w:sz w:val="18"/>
              </w:rPr>
              <w:t>、</w:t>
            </w:r>
            <w:r>
              <w:rPr>
                <w:b/>
                <w:color w:val="FF6600"/>
                <w:sz w:val="18"/>
              </w:rPr>
              <w:t>残疾辅助器具费</w:t>
            </w:r>
            <w:r>
              <w:rPr>
                <w:spacing w:val="-5"/>
                <w:sz w:val="18"/>
              </w:rPr>
              <w:t>按照普通适用器具的合理费用标准计算。伤情有特殊需要的，可以参照辅助器具配制机构的意见确定相应的合理费用标</w:t>
            </w:r>
            <w:r>
              <w:rPr>
                <w:sz w:val="18"/>
              </w:rPr>
              <w:t>准。</w:t>
            </w:r>
          </w:p>
          <w:p>
            <w:pPr>
              <w:pStyle w:val="TableParagraph"/>
              <w:spacing w:before="46"/>
              <w:ind w:left="468"/>
              <w:rPr>
                <w:sz w:val="18"/>
              </w:rPr>
            </w:pPr>
            <w:r>
              <w:rPr>
                <w:sz w:val="18"/>
              </w:rPr>
              <w:t>辅助器具的更换周期和赔偿期限参照配制机构的意见确定。</w:t>
            </w:r>
          </w:p>
        </w:tc>
        <w:tc>
          <w:tcPr>
            <w:tcW w:w="2698" w:type="dxa"/>
          </w:tcPr>
          <w:p>
            <w:pPr>
              <w:pStyle w:val="TableParagraph"/>
              <w:spacing w:before="35"/>
              <w:ind w:left="105"/>
              <w:rPr>
                <w:sz w:val="18"/>
              </w:rPr>
            </w:pPr>
            <w:r>
              <w:rPr>
                <w:sz w:val="18"/>
              </w:rPr>
              <w:t>9、凭医疗诊断证明、器具发票</w:t>
            </w:r>
          </w:p>
        </w:tc>
      </w:tr>
      <w:tr>
        <w:trPr>
          <w:trHeight w:val="623" w:hRule="atLeast"/>
        </w:trPr>
        <w:tc>
          <w:tcPr>
            <w:tcW w:w="11024" w:type="dxa"/>
            <w:gridSpan w:val="3"/>
          </w:tcPr>
          <w:p>
            <w:pPr>
              <w:pStyle w:val="TableParagraph"/>
              <w:spacing w:before="74"/>
              <w:rPr>
                <w:sz w:val="18"/>
              </w:rPr>
            </w:pPr>
            <w:r>
              <w:rPr>
                <w:rFonts w:ascii="华文楷体" w:eastAsia="华文楷体" w:hint="eastAsia"/>
                <w:sz w:val="18"/>
              </w:rPr>
              <w:t>9、</w:t>
            </w:r>
            <w:r>
              <w:rPr>
                <w:b/>
                <w:color w:val="FF6600"/>
                <w:sz w:val="18"/>
              </w:rPr>
              <w:t>精神损害抚慰金</w:t>
            </w:r>
            <w:r>
              <w:rPr>
                <w:rFonts w:ascii="华文楷体" w:eastAsia="华文楷体" w:hint="eastAsia"/>
                <w:sz w:val="28"/>
              </w:rPr>
              <w:t>：</w:t>
            </w:r>
            <w:r>
              <w:rPr>
                <w:sz w:val="18"/>
              </w:rPr>
              <w:t>以 10 万为限，一般为 5 万</w:t>
            </w:r>
          </w:p>
        </w:tc>
        <w:tc>
          <w:tcPr>
            <w:tcW w:w="2698" w:type="dxa"/>
          </w:tcPr>
          <w:p>
            <w:pPr>
              <w:pStyle w:val="TableParagraph"/>
              <w:ind w:left="0"/>
              <w:rPr>
                <w:rFonts w:ascii="Times New Roman"/>
                <w:sz w:val="18"/>
              </w:rPr>
            </w:pPr>
          </w:p>
        </w:tc>
      </w:tr>
      <w:tr>
        <w:trPr>
          <w:trHeight w:val="556" w:hRule="atLeast"/>
        </w:trPr>
        <w:tc>
          <w:tcPr>
            <w:tcW w:w="11024" w:type="dxa"/>
            <w:gridSpan w:val="3"/>
          </w:tcPr>
          <w:p>
            <w:pPr>
              <w:pStyle w:val="TableParagraph"/>
              <w:spacing w:before="1"/>
              <w:rPr>
                <w:b/>
                <w:sz w:val="18"/>
              </w:rPr>
            </w:pPr>
            <w:r>
              <w:rPr>
                <w:rFonts w:ascii="华文楷体" w:eastAsia="华文楷体" w:hint="eastAsia"/>
                <w:sz w:val="18"/>
              </w:rPr>
              <w:t>10、</w:t>
            </w:r>
            <w:r>
              <w:rPr>
                <w:b/>
                <w:color w:val="FF6600"/>
                <w:sz w:val="18"/>
              </w:rPr>
              <w:t>后续治疗费：</w:t>
            </w:r>
          </w:p>
        </w:tc>
        <w:tc>
          <w:tcPr>
            <w:tcW w:w="2698" w:type="dxa"/>
          </w:tcPr>
          <w:p>
            <w:pPr>
              <w:pStyle w:val="TableParagraph"/>
              <w:spacing w:before="32"/>
              <w:ind w:left="105"/>
              <w:rPr>
                <w:sz w:val="18"/>
              </w:rPr>
            </w:pPr>
            <w:r>
              <w:rPr>
                <w:sz w:val="18"/>
              </w:rPr>
              <w:t>10、凭医疗诊断证明、鉴定建议</w:t>
            </w:r>
          </w:p>
        </w:tc>
      </w:tr>
      <w:tr>
        <w:trPr>
          <w:trHeight w:val="3122" w:hRule="atLeast"/>
        </w:trPr>
        <w:tc>
          <w:tcPr>
            <w:tcW w:w="11024" w:type="dxa"/>
            <w:gridSpan w:val="3"/>
          </w:tcPr>
          <w:p>
            <w:pPr>
              <w:pStyle w:val="TableParagraph"/>
              <w:spacing w:before="3"/>
              <w:rPr>
                <w:b/>
                <w:sz w:val="18"/>
              </w:rPr>
            </w:pPr>
            <w:r>
              <w:rPr>
                <w:rFonts w:ascii="华文楷体" w:eastAsia="华文楷体" w:hint="eastAsia"/>
                <w:sz w:val="18"/>
              </w:rPr>
              <w:t>11、</w:t>
            </w:r>
            <w:r>
              <w:rPr>
                <w:b/>
                <w:color w:val="FF6600"/>
                <w:sz w:val="18"/>
              </w:rPr>
              <w:t>被抚养人生活费：</w:t>
            </w:r>
          </w:p>
          <w:p>
            <w:pPr>
              <w:pStyle w:val="TableParagraph"/>
              <w:spacing w:before="49"/>
              <w:ind w:left="468"/>
              <w:rPr>
                <w:sz w:val="18"/>
              </w:rPr>
            </w:pPr>
            <w:r>
              <w:rPr>
                <w:sz w:val="18"/>
              </w:rPr>
              <w:t>18 周岁以下：</w:t>
            </w:r>
          </w:p>
          <w:p>
            <w:pPr>
              <w:pStyle w:val="TableParagraph"/>
              <w:spacing w:before="81"/>
              <w:ind w:left="468"/>
              <w:rPr>
                <w:rFonts w:ascii="Times New Roman" w:eastAsia="Times New Roman"/>
                <w:sz w:val="18"/>
              </w:rPr>
            </w:pPr>
            <w:r>
              <w:rPr>
                <w:rFonts w:ascii="Times New Roman" w:eastAsia="Times New Roman"/>
                <w:sz w:val="18"/>
              </w:rPr>
              <w:t>32026 </w:t>
            </w:r>
            <w:r>
              <w:rPr>
                <w:sz w:val="18"/>
              </w:rPr>
              <w:t>元（</w:t>
            </w:r>
            <w:r>
              <w:rPr>
                <w:rFonts w:ascii="Times New Roman" w:eastAsia="Times New Roman"/>
                <w:sz w:val="18"/>
              </w:rPr>
              <w:t>18</w:t>
            </w:r>
            <w:r>
              <w:rPr>
                <w:sz w:val="18"/>
              </w:rPr>
              <w:t>－年龄）</w:t>
            </w:r>
            <w:r>
              <w:rPr>
                <w:rFonts w:ascii="Times New Roman" w:eastAsia="Times New Roman"/>
                <w:sz w:val="18"/>
              </w:rPr>
              <w:t>/</w:t>
            </w:r>
            <w:r>
              <w:rPr>
                <w:sz w:val="18"/>
              </w:rPr>
              <w:t>抚养人数 </w:t>
            </w:r>
            <w:r>
              <w:rPr>
                <w:rFonts w:ascii="Times New Roman" w:eastAsia="Times New Roman"/>
                <w:sz w:val="18"/>
              </w:rPr>
              <w:t>x[</w:t>
            </w:r>
            <w:r>
              <w:rPr>
                <w:sz w:val="18"/>
              </w:rPr>
              <w:t>（</w:t>
            </w:r>
            <w:r>
              <w:rPr>
                <w:rFonts w:ascii="Times New Roman" w:eastAsia="Times New Roman"/>
                <w:sz w:val="18"/>
              </w:rPr>
              <w:t>11</w:t>
            </w:r>
            <w:r>
              <w:rPr>
                <w:sz w:val="18"/>
              </w:rPr>
              <w:t>－伤残等级）</w:t>
            </w:r>
            <w:r>
              <w:rPr>
                <w:rFonts w:ascii="Times New Roman" w:eastAsia="Times New Roman"/>
                <w:sz w:val="18"/>
              </w:rPr>
              <w:t>10]%</w:t>
            </w:r>
          </w:p>
          <w:p>
            <w:pPr>
              <w:pStyle w:val="TableParagraph"/>
              <w:spacing w:line="324" w:lineRule="auto" w:before="82"/>
              <w:ind w:left="1010" w:right="6027" w:hanging="543"/>
              <w:rPr>
                <w:rFonts w:ascii="Times New Roman" w:eastAsia="Times New Roman"/>
                <w:sz w:val="18"/>
              </w:rPr>
            </w:pPr>
            <w:r>
              <w:rPr>
                <w:rFonts w:ascii="Times New Roman" w:eastAsia="Times New Roman"/>
                <w:sz w:val="18"/>
              </w:rPr>
              <w:t>18 </w:t>
            </w:r>
            <w:r>
              <w:rPr>
                <w:sz w:val="18"/>
              </w:rPr>
              <w:t>至 </w:t>
            </w:r>
            <w:r>
              <w:rPr>
                <w:rFonts w:ascii="Times New Roman" w:eastAsia="Times New Roman"/>
                <w:sz w:val="18"/>
              </w:rPr>
              <w:t>60 </w:t>
            </w:r>
            <w:r>
              <w:rPr>
                <w:sz w:val="18"/>
              </w:rPr>
              <w:t>周岁被扶养人无劳动能力又无其他生活来源的： 上述基数x20 年</w:t>
            </w:r>
            <w:r>
              <w:rPr>
                <w:rFonts w:ascii="Times New Roman" w:eastAsia="Times New Roman"/>
                <w:sz w:val="18"/>
              </w:rPr>
              <w:t>x[</w:t>
            </w:r>
            <w:r>
              <w:rPr>
                <w:sz w:val="18"/>
              </w:rPr>
              <w:t>（</w:t>
            </w:r>
            <w:r>
              <w:rPr>
                <w:rFonts w:ascii="Times New Roman" w:eastAsia="Times New Roman"/>
                <w:sz w:val="18"/>
              </w:rPr>
              <w:t>11</w:t>
            </w:r>
            <w:r>
              <w:rPr>
                <w:sz w:val="18"/>
              </w:rPr>
              <w:t>－伤残等级）</w:t>
            </w:r>
            <w:r>
              <w:rPr>
                <w:rFonts w:ascii="Times New Roman" w:eastAsia="Times New Roman"/>
                <w:sz w:val="18"/>
              </w:rPr>
              <w:t>10]%</w:t>
            </w:r>
          </w:p>
          <w:p>
            <w:pPr>
              <w:pStyle w:val="TableParagraph"/>
              <w:spacing w:before="1"/>
              <w:ind w:left="468"/>
              <w:rPr>
                <w:sz w:val="18"/>
              </w:rPr>
            </w:pPr>
            <w:r>
              <w:rPr>
                <w:rFonts w:ascii="Times New Roman" w:eastAsia="Times New Roman"/>
                <w:sz w:val="18"/>
              </w:rPr>
              <w:t>60 </w:t>
            </w:r>
            <w:r>
              <w:rPr>
                <w:sz w:val="18"/>
              </w:rPr>
              <w:t>至 </w:t>
            </w:r>
            <w:r>
              <w:rPr>
                <w:rFonts w:ascii="Times New Roman" w:eastAsia="Times New Roman"/>
                <w:sz w:val="18"/>
              </w:rPr>
              <w:t>75 </w:t>
            </w:r>
            <w:r>
              <w:rPr>
                <w:sz w:val="18"/>
              </w:rPr>
              <w:t>周岁：</w:t>
            </w:r>
          </w:p>
          <w:p>
            <w:pPr>
              <w:pStyle w:val="TableParagraph"/>
              <w:spacing w:before="81"/>
              <w:ind w:left="1010"/>
              <w:rPr>
                <w:rFonts w:ascii="Times New Roman" w:eastAsia="Times New Roman"/>
                <w:sz w:val="18"/>
              </w:rPr>
            </w:pPr>
            <w:r>
              <w:rPr>
                <w:sz w:val="18"/>
              </w:rPr>
              <w:t>上诉上述基数x（80－年龄）</w:t>
            </w:r>
            <w:r>
              <w:rPr>
                <w:rFonts w:ascii="Times New Roman" w:eastAsia="Times New Roman"/>
                <w:sz w:val="18"/>
              </w:rPr>
              <w:t>/</w:t>
            </w:r>
            <w:r>
              <w:rPr>
                <w:sz w:val="18"/>
              </w:rPr>
              <w:t>抚养人数 </w:t>
            </w:r>
            <w:r>
              <w:rPr>
                <w:rFonts w:ascii="Times New Roman" w:eastAsia="Times New Roman"/>
                <w:sz w:val="18"/>
              </w:rPr>
              <w:t>x[</w:t>
            </w:r>
            <w:r>
              <w:rPr>
                <w:sz w:val="18"/>
              </w:rPr>
              <w:t>（</w:t>
            </w:r>
            <w:r>
              <w:rPr>
                <w:rFonts w:ascii="Times New Roman" w:eastAsia="Times New Roman"/>
                <w:sz w:val="18"/>
              </w:rPr>
              <w:t>11</w:t>
            </w:r>
            <w:r>
              <w:rPr>
                <w:sz w:val="18"/>
              </w:rPr>
              <w:t>－伤残等级）</w:t>
            </w:r>
            <w:r>
              <w:rPr>
                <w:rFonts w:ascii="Times New Roman" w:eastAsia="Times New Roman"/>
                <w:sz w:val="18"/>
              </w:rPr>
              <w:t>10]%</w:t>
            </w:r>
          </w:p>
        </w:tc>
        <w:tc>
          <w:tcPr>
            <w:tcW w:w="2698" w:type="dxa"/>
          </w:tcPr>
          <w:p>
            <w:pPr>
              <w:pStyle w:val="TableParagraph"/>
              <w:spacing w:line="324" w:lineRule="auto" w:before="35"/>
              <w:ind w:left="105" w:right="97"/>
              <w:jc w:val="both"/>
              <w:rPr>
                <w:sz w:val="18"/>
              </w:rPr>
            </w:pPr>
            <w:r>
              <w:rPr>
                <w:sz w:val="18"/>
              </w:rPr>
              <w:t>11</w:t>
            </w:r>
            <w:r>
              <w:rPr>
                <w:spacing w:val="-8"/>
                <w:sz w:val="18"/>
              </w:rPr>
              <w:t>、根据扶养人丧失劳动能力程</w:t>
            </w:r>
            <w:r>
              <w:rPr>
                <w:spacing w:val="-7"/>
                <w:sz w:val="18"/>
              </w:rPr>
              <w:t>度，按照受诉法院所在地</w:t>
            </w:r>
            <w:r>
              <w:rPr>
                <w:color w:val="FF0000"/>
                <w:spacing w:val="-5"/>
                <w:sz w:val="18"/>
              </w:rPr>
              <w:t>上一年</w:t>
            </w:r>
            <w:r>
              <w:rPr>
                <w:color w:val="FF0000"/>
                <w:spacing w:val="9"/>
                <w:sz w:val="18"/>
              </w:rPr>
              <w:t>度全体居民人均消费性支出标</w:t>
            </w:r>
            <w:r>
              <w:rPr>
                <w:color w:val="FF0000"/>
                <w:spacing w:val="12"/>
                <w:sz w:val="18"/>
              </w:rPr>
              <w:t>准计算</w:t>
            </w:r>
            <w:r>
              <w:rPr>
                <w:spacing w:val="8"/>
                <w:sz w:val="18"/>
              </w:rPr>
              <w:t>。被扶养人为未成年人</w:t>
            </w:r>
            <w:r>
              <w:rPr>
                <w:spacing w:val="-8"/>
                <w:sz w:val="18"/>
              </w:rPr>
              <w:t>的，计算至十八周岁；被扶养人</w:t>
            </w:r>
            <w:r>
              <w:rPr>
                <w:spacing w:val="9"/>
                <w:sz w:val="18"/>
              </w:rPr>
              <w:t>无劳动能力又无其他生活来源</w:t>
            </w:r>
            <w:r>
              <w:rPr>
                <w:spacing w:val="-8"/>
                <w:sz w:val="18"/>
              </w:rPr>
              <w:t>的，计算二十年。但六十周岁以</w:t>
            </w:r>
            <w:r>
              <w:rPr>
                <w:spacing w:val="9"/>
                <w:sz w:val="18"/>
              </w:rPr>
              <w:t>上的，年龄每增加一岁减少一</w:t>
            </w:r>
            <w:r>
              <w:rPr>
                <w:spacing w:val="-8"/>
                <w:sz w:val="18"/>
              </w:rPr>
              <w:t>年；七十五周岁以上的，按五年</w:t>
            </w:r>
          </w:p>
          <w:p>
            <w:pPr>
              <w:pStyle w:val="TableParagraph"/>
              <w:spacing w:before="6"/>
              <w:ind w:left="105"/>
              <w:rPr>
                <w:sz w:val="18"/>
              </w:rPr>
            </w:pPr>
            <w:r>
              <w:rPr>
                <w:sz w:val="18"/>
              </w:rPr>
              <w:t>计算。</w:t>
            </w:r>
          </w:p>
        </w:tc>
      </w:tr>
      <w:tr>
        <w:trPr>
          <w:trHeight w:val="337" w:hRule="atLeast"/>
        </w:trPr>
        <w:tc>
          <w:tcPr>
            <w:tcW w:w="675" w:type="dxa"/>
            <w:vMerge w:val="restart"/>
          </w:tcPr>
          <w:p>
            <w:pPr>
              <w:pStyle w:val="TableParagraph"/>
              <w:spacing w:before="74"/>
              <w:rPr>
                <w:rFonts w:ascii="华文楷体" w:eastAsia="华文楷体" w:hint="eastAsia"/>
                <w:sz w:val="28"/>
              </w:rPr>
            </w:pPr>
            <w:r>
              <w:rPr>
                <w:rFonts w:ascii="华文楷体" w:eastAsia="华文楷体" w:hint="eastAsia"/>
                <w:w w:val="100"/>
                <w:sz w:val="28"/>
              </w:rPr>
              <w:t>死</w:t>
            </w:r>
          </w:p>
          <w:p>
            <w:pPr>
              <w:pStyle w:val="TableParagraph"/>
              <w:spacing w:before="165"/>
              <w:rPr>
                <w:rFonts w:ascii="华文楷体" w:eastAsia="华文楷体" w:hint="eastAsia"/>
                <w:sz w:val="28"/>
              </w:rPr>
            </w:pPr>
            <w:r>
              <w:rPr>
                <w:rFonts w:ascii="华文楷体" w:eastAsia="华文楷体" w:hint="eastAsia"/>
                <w:w w:val="100"/>
                <w:sz w:val="28"/>
              </w:rPr>
              <w:t>亡</w:t>
            </w:r>
          </w:p>
        </w:tc>
        <w:tc>
          <w:tcPr>
            <w:tcW w:w="6238" w:type="dxa"/>
          </w:tcPr>
          <w:p>
            <w:pPr>
              <w:pStyle w:val="TableParagraph"/>
              <w:spacing w:before="5"/>
              <w:rPr>
                <w:sz w:val="21"/>
              </w:rPr>
            </w:pPr>
            <w:r>
              <w:rPr>
                <w:rFonts w:ascii="华文楷体" w:eastAsia="华文楷体" w:hint="eastAsia"/>
                <w:sz w:val="18"/>
              </w:rPr>
              <w:t>一、</w:t>
            </w:r>
            <w:r>
              <w:rPr>
                <w:b/>
                <w:color w:val="FF6600"/>
                <w:sz w:val="18"/>
              </w:rPr>
              <w:t>丧葬费</w:t>
            </w:r>
            <w:r>
              <w:rPr>
                <w:sz w:val="21"/>
              </w:rPr>
              <w:t>：</w:t>
            </w:r>
            <w:r>
              <w:rPr>
                <w:rFonts w:ascii="Times New Roman" w:eastAsia="Times New Roman"/>
                <w:sz w:val="21"/>
              </w:rPr>
              <w:t>72078 </w:t>
            </w:r>
            <w:r>
              <w:rPr>
                <w:sz w:val="21"/>
              </w:rPr>
              <w:t>元</w:t>
            </w:r>
            <w:r>
              <w:rPr>
                <w:rFonts w:ascii="Times New Roman" w:eastAsia="Times New Roman"/>
                <w:sz w:val="21"/>
              </w:rPr>
              <w:t>/</w:t>
            </w:r>
            <w:r>
              <w:rPr>
                <w:sz w:val="21"/>
              </w:rPr>
              <w:t>年</w:t>
            </w:r>
            <w:r>
              <w:rPr>
                <w:rFonts w:ascii="Times New Roman" w:eastAsia="Times New Roman"/>
                <w:sz w:val="21"/>
              </w:rPr>
              <w:t>/2=36039 </w:t>
            </w:r>
            <w:r>
              <w:rPr>
                <w:sz w:val="21"/>
              </w:rPr>
              <w:t>元</w:t>
            </w:r>
          </w:p>
        </w:tc>
        <w:tc>
          <w:tcPr>
            <w:tcW w:w="6809" w:type="dxa"/>
            <w:gridSpan w:val="2"/>
          </w:tcPr>
          <w:p>
            <w:pPr>
              <w:pStyle w:val="TableParagraph"/>
              <w:spacing w:before="32"/>
              <w:rPr>
                <w:sz w:val="18"/>
              </w:rPr>
            </w:pPr>
            <w:r>
              <w:rPr>
                <w:sz w:val="18"/>
              </w:rPr>
              <w:t>12、</w:t>
            </w:r>
            <w:r>
              <w:rPr>
                <w:color w:val="FF0000"/>
                <w:sz w:val="18"/>
              </w:rPr>
              <w:t>按照受诉法院所在地上一年度职工月平均工资标准，以六个月总额计算</w:t>
            </w:r>
            <w:r>
              <w:rPr>
                <w:sz w:val="18"/>
              </w:rPr>
              <w:t>。</w:t>
            </w:r>
          </w:p>
        </w:tc>
      </w:tr>
      <w:tr>
        <w:trPr>
          <w:trHeight w:val="936" w:hRule="atLeast"/>
        </w:trPr>
        <w:tc>
          <w:tcPr>
            <w:tcW w:w="675" w:type="dxa"/>
            <w:vMerge/>
            <w:tcBorders>
              <w:top w:val="nil"/>
            </w:tcBorders>
          </w:tcPr>
          <w:p>
            <w:pPr>
              <w:rPr>
                <w:sz w:val="2"/>
                <w:szCs w:val="2"/>
              </w:rPr>
            </w:pPr>
          </w:p>
        </w:tc>
        <w:tc>
          <w:tcPr>
            <w:tcW w:w="6238" w:type="dxa"/>
          </w:tcPr>
          <w:p>
            <w:pPr>
              <w:pStyle w:val="TableParagraph"/>
              <w:spacing w:line="306" w:lineRule="exact"/>
              <w:rPr>
                <w:b/>
                <w:sz w:val="18"/>
              </w:rPr>
            </w:pPr>
            <w:r>
              <w:rPr>
                <w:rFonts w:ascii="华文楷体" w:eastAsia="华文楷体" w:hint="eastAsia"/>
                <w:sz w:val="21"/>
              </w:rPr>
              <w:t>二、</w:t>
            </w:r>
            <w:r>
              <w:rPr>
                <w:b/>
                <w:color w:val="FF6600"/>
                <w:sz w:val="18"/>
              </w:rPr>
              <w:t>死亡赔偿金</w:t>
            </w:r>
          </w:p>
          <w:p>
            <w:pPr>
              <w:pStyle w:val="TableParagraph"/>
              <w:spacing w:line="328" w:lineRule="exact"/>
              <w:rPr>
                <w:rFonts w:ascii="华文楷体" w:eastAsia="华文楷体" w:hint="eastAsia"/>
                <w:sz w:val="21"/>
              </w:rPr>
            </w:pPr>
            <w:r>
              <w:rPr>
                <w:rFonts w:ascii="华文楷体" w:eastAsia="华文楷体" w:hint="eastAsia"/>
                <w:sz w:val="21"/>
              </w:rPr>
              <w:t>49899 </w:t>
            </w:r>
            <w:r>
              <w:rPr>
                <w:sz w:val="18"/>
              </w:rPr>
              <w:t>元 </w:t>
            </w:r>
            <w:r>
              <w:rPr>
                <w:rFonts w:ascii="Times New Roman" w:eastAsia="Times New Roman"/>
                <w:sz w:val="18"/>
              </w:rPr>
              <w:t>x20 </w:t>
            </w:r>
            <w:r>
              <w:rPr>
                <w:sz w:val="18"/>
              </w:rPr>
              <w:t>年＝</w:t>
            </w:r>
            <w:r>
              <w:rPr>
                <w:rFonts w:ascii="华文楷体" w:eastAsia="华文楷体" w:hint="eastAsia"/>
                <w:sz w:val="21"/>
              </w:rPr>
              <w:t>997980 元</w:t>
            </w:r>
          </w:p>
        </w:tc>
        <w:tc>
          <w:tcPr>
            <w:tcW w:w="6809" w:type="dxa"/>
            <w:gridSpan w:val="2"/>
          </w:tcPr>
          <w:p>
            <w:pPr>
              <w:pStyle w:val="TableParagraph"/>
              <w:spacing w:line="326" w:lineRule="auto" w:before="32"/>
              <w:ind w:right="100"/>
              <w:rPr>
                <w:sz w:val="18"/>
              </w:rPr>
            </w:pPr>
            <w:r>
              <w:rPr>
                <w:sz w:val="18"/>
              </w:rPr>
              <w:t>13</w:t>
            </w:r>
            <w:r>
              <w:rPr>
                <w:spacing w:val="-8"/>
                <w:sz w:val="18"/>
              </w:rPr>
              <w:t>、按照受诉法院所在地上一年度全体居民人均可支配收入标准，按二十年计算。但</w:t>
            </w:r>
            <w:r>
              <w:rPr>
                <w:sz w:val="18"/>
              </w:rPr>
              <w:t>六十周岁以上的，年龄每增加一岁减少一年；七十五周岁以上的，按五年计算。</w:t>
            </w:r>
          </w:p>
        </w:tc>
      </w:tr>
    </w:tbl>
    <w:p>
      <w:pPr>
        <w:spacing w:after="0" w:line="326" w:lineRule="auto"/>
        <w:rPr>
          <w:sz w:val="18"/>
        </w:rPr>
        <w:sectPr>
          <w:pgSz w:w="16840" w:h="11910" w:orient="landscape"/>
          <w:pgMar w:top="1060" w:bottom="280" w:left="1340" w:right="12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6238"/>
        <w:gridCol w:w="6810"/>
      </w:tblGrid>
      <w:tr>
        <w:trPr>
          <w:trHeight w:val="2183" w:hRule="atLeast"/>
        </w:trPr>
        <w:tc>
          <w:tcPr>
            <w:tcW w:w="675" w:type="dxa"/>
            <w:vMerge w:val="restart"/>
          </w:tcPr>
          <w:p>
            <w:pPr>
              <w:pStyle w:val="TableParagraph"/>
              <w:ind w:left="0"/>
              <w:rPr>
                <w:rFonts w:ascii="Times New Roman"/>
                <w:sz w:val="18"/>
              </w:rPr>
            </w:pPr>
          </w:p>
        </w:tc>
        <w:tc>
          <w:tcPr>
            <w:tcW w:w="6238" w:type="dxa"/>
          </w:tcPr>
          <w:p>
            <w:pPr>
              <w:pStyle w:val="TableParagraph"/>
              <w:spacing w:line="322" w:lineRule="exact"/>
              <w:rPr>
                <w:b/>
                <w:sz w:val="18"/>
              </w:rPr>
            </w:pPr>
            <w:r>
              <w:rPr>
                <w:rFonts w:ascii="华文楷体" w:eastAsia="华文楷体" w:hint="eastAsia"/>
                <w:sz w:val="21"/>
              </w:rPr>
              <w:t>三、</w:t>
            </w:r>
            <w:r>
              <w:rPr>
                <w:b/>
                <w:color w:val="FF6600"/>
                <w:sz w:val="18"/>
              </w:rPr>
              <w:t>被抚养人生活费</w:t>
            </w:r>
          </w:p>
          <w:p>
            <w:pPr>
              <w:pStyle w:val="TableParagraph"/>
              <w:spacing w:before="23"/>
              <w:ind w:left="467"/>
              <w:rPr>
                <w:sz w:val="18"/>
              </w:rPr>
            </w:pPr>
            <w:r>
              <w:rPr>
                <w:sz w:val="18"/>
              </w:rPr>
              <w:t>18 周岁以下：</w:t>
            </w:r>
          </w:p>
          <w:p>
            <w:pPr>
              <w:pStyle w:val="TableParagraph"/>
              <w:spacing w:before="81"/>
              <w:ind w:left="467"/>
              <w:rPr>
                <w:sz w:val="18"/>
              </w:rPr>
            </w:pPr>
            <w:r>
              <w:rPr>
                <w:rFonts w:ascii="Times New Roman" w:eastAsia="Times New Roman"/>
                <w:sz w:val="18"/>
              </w:rPr>
              <w:t>32026 </w:t>
            </w:r>
            <w:r>
              <w:rPr>
                <w:sz w:val="18"/>
              </w:rPr>
              <w:t>元（</w:t>
            </w:r>
            <w:r>
              <w:rPr>
                <w:rFonts w:ascii="Times New Roman" w:eastAsia="Times New Roman"/>
                <w:sz w:val="18"/>
              </w:rPr>
              <w:t>18</w:t>
            </w:r>
            <w:r>
              <w:rPr>
                <w:sz w:val="18"/>
              </w:rPr>
              <w:t>－年龄）</w:t>
            </w:r>
            <w:r>
              <w:rPr>
                <w:rFonts w:ascii="Times New Roman" w:eastAsia="Times New Roman"/>
                <w:sz w:val="18"/>
              </w:rPr>
              <w:t>/</w:t>
            </w:r>
            <w:r>
              <w:rPr>
                <w:sz w:val="18"/>
              </w:rPr>
              <w:t>抚养人数</w:t>
            </w:r>
          </w:p>
          <w:p>
            <w:pPr>
              <w:pStyle w:val="TableParagraph"/>
              <w:spacing w:line="324" w:lineRule="auto" w:before="82"/>
              <w:ind w:left="1010" w:right="1242" w:hanging="543"/>
              <w:rPr>
                <w:sz w:val="18"/>
              </w:rPr>
            </w:pPr>
            <w:r>
              <w:rPr>
                <w:rFonts w:ascii="Times New Roman" w:eastAsia="Times New Roman"/>
                <w:sz w:val="18"/>
              </w:rPr>
              <w:t>18 </w:t>
            </w:r>
            <w:r>
              <w:rPr>
                <w:sz w:val="18"/>
              </w:rPr>
              <w:t>至 </w:t>
            </w:r>
            <w:r>
              <w:rPr>
                <w:rFonts w:ascii="Times New Roman" w:eastAsia="Times New Roman"/>
                <w:sz w:val="18"/>
              </w:rPr>
              <w:t>60 </w:t>
            </w:r>
            <w:r>
              <w:rPr>
                <w:sz w:val="18"/>
              </w:rPr>
              <w:t>周岁被扶养人无劳动能力又无其他生活来源的： 上述基数x20 年</w:t>
            </w:r>
          </w:p>
          <w:p>
            <w:pPr>
              <w:pStyle w:val="TableParagraph"/>
              <w:spacing w:before="1"/>
              <w:ind w:left="467"/>
              <w:rPr>
                <w:sz w:val="18"/>
              </w:rPr>
            </w:pPr>
            <w:r>
              <w:rPr>
                <w:rFonts w:ascii="Times New Roman" w:eastAsia="Times New Roman"/>
                <w:sz w:val="18"/>
              </w:rPr>
              <w:t>60 </w:t>
            </w:r>
            <w:r>
              <w:rPr>
                <w:sz w:val="18"/>
              </w:rPr>
              <w:t>至 </w:t>
            </w:r>
            <w:r>
              <w:rPr>
                <w:rFonts w:ascii="Times New Roman" w:eastAsia="Times New Roman"/>
                <w:sz w:val="18"/>
              </w:rPr>
              <w:t>75 </w:t>
            </w:r>
            <w:r>
              <w:rPr>
                <w:sz w:val="18"/>
              </w:rPr>
              <w:t>周岁：</w:t>
            </w:r>
          </w:p>
          <w:p>
            <w:pPr>
              <w:pStyle w:val="TableParagraph"/>
              <w:spacing w:before="81"/>
              <w:ind w:left="1010"/>
              <w:rPr>
                <w:sz w:val="18"/>
              </w:rPr>
            </w:pPr>
            <w:r>
              <w:rPr>
                <w:sz w:val="18"/>
              </w:rPr>
              <w:t>上述基数x（80－年龄）</w:t>
            </w:r>
            <w:r>
              <w:rPr>
                <w:rFonts w:ascii="Times New Roman" w:eastAsia="Times New Roman"/>
                <w:sz w:val="18"/>
              </w:rPr>
              <w:t>/</w:t>
            </w:r>
            <w:r>
              <w:rPr>
                <w:sz w:val="18"/>
              </w:rPr>
              <w:t>抚养人数</w:t>
            </w:r>
          </w:p>
        </w:tc>
        <w:tc>
          <w:tcPr>
            <w:tcW w:w="6810" w:type="dxa"/>
          </w:tcPr>
          <w:p>
            <w:pPr>
              <w:pStyle w:val="TableParagraph"/>
              <w:spacing w:line="324" w:lineRule="auto" w:before="32"/>
              <w:ind w:right="97"/>
              <w:jc w:val="both"/>
              <w:rPr>
                <w:sz w:val="18"/>
              </w:rPr>
            </w:pPr>
            <w:r>
              <w:rPr>
                <w:sz w:val="18"/>
              </w:rPr>
              <w:t>14</w:t>
            </w:r>
            <w:r>
              <w:rPr>
                <w:spacing w:val="-10"/>
                <w:sz w:val="18"/>
              </w:rPr>
              <w:t>、被扶养人是指受害人依法应当承担扶养义务的未成年人或者丧失劳动能力又无其</w:t>
            </w:r>
            <w:r>
              <w:rPr>
                <w:spacing w:val="-6"/>
                <w:sz w:val="18"/>
              </w:rPr>
              <w:t>他生活来源的成年近亲属。被扶养人还有其他扶养人的，赔偿义务人只赔偿受害人依</w:t>
            </w:r>
            <w:r>
              <w:rPr>
                <w:spacing w:val="-7"/>
                <w:sz w:val="18"/>
              </w:rPr>
              <w:t>法应当负担的部分。被扶养人有数人的，年赔偿总额累计不超过上一年度城镇居民人</w:t>
            </w:r>
            <w:r>
              <w:rPr>
                <w:sz w:val="18"/>
              </w:rPr>
              <w:t>均消费性支出额或者农村居民人均年生活消费支出额。</w:t>
            </w:r>
          </w:p>
          <w:p>
            <w:pPr>
              <w:pStyle w:val="TableParagraph"/>
              <w:spacing w:line="324" w:lineRule="auto" w:before="3"/>
              <w:ind w:right="99"/>
              <w:jc w:val="both"/>
              <w:rPr>
                <w:sz w:val="18"/>
              </w:rPr>
            </w:pPr>
            <w:r>
              <w:rPr>
                <w:color w:val="FF0000"/>
                <w:spacing w:val="-8"/>
                <w:sz w:val="18"/>
              </w:rPr>
              <w:t>《温州中院会议纪要》已经将被抚养人生活费统一按上一年度全体居民人均消费支出</w:t>
            </w:r>
            <w:r>
              <w:rPr>
                <w:color w:val="FF0000"/>
                <w:spacing w:val="-8"/>
                <w:sz w:val="18"/>
                <w:shd w:fill="F7F6F6" w:color="auto" w:val="clear"/>
              </w:rPr>
              <w:t>计算与备注 </w:t>
            </w:r>
            <w:r>
              <w:rPr>
                <w:rFonts w:ascii="Times New Roman" w:eastAsia="Times New Roman"/>
                <w:color w:val="FF0000"/>
                <w:spacing w:val="-3"/>
                <w:sz w:val="18"/>
                <w:shd w:fill="F7F6F6" w:color="auto" w:val="clear"/>
              </w:rPr>
              <w:t>11 </w:t>
            </w:r>
            <w:r>
              <w:rPr>
                <w:color w:val="FF0000"/>
                <w:sz w:val="18"/>
                <w:shd w:fill="F7F6F6" w:color="auto" w:val="clear"/>
              </w:rPr>
              <w:t>一致</w:t>
            </w:r>
          </w:p>
        </w:tc>
      </w:tr>
      <w:tr>
        <w:trPr>
          <w:trHeight w:val="623" w:hRule="atLeast"/>
        </w:trPr>
        <w:tc>
          <w:tcPr>
            <w:tcW w:w="675" w:type="dxa"/>
            <w:vMerge/>
            <w:tcBorders>
              <w:top w:val="nil"/>
            </w:tcBorders>
          </w:tcPr>
          <w:p>
            <w:pPr>
              <w:rPr>
                <w:sz w:val="2"/>
                <w:szCs w:val="2"/>
              </w:rPr>
            </w:pPr>
          </w:p>
        </w:tc>
        <w:tc>
          <w:tcPr>
            <w:tcW w:w="6238" w:type="dxa"/>
          </w:tcPr>
          <w:p>
            <w:pPr>
              <w:pStyle w:val="TableParagraph"/>
              <w:spacing w:line="322" w:lineRule="exact"/>
              <w:rPr>
                <w:sz w:val="18"/>
              </w:rPr>
            </w:pPr>
            <w:r>
              <w:rPr>
                <w:rFonts w:ascii="华文楷体" w:eastAsia="华文楷体" w:hint="eastAsia"/>
                <w:sz w:val="21"/>
              </w:rPr>
              <w:t>四、</w:t>
            </w:r>
            <w:r>
              <w:rPr>
                <w:sz w:val="18"/>
              </w:rPr>
              <w:t>受害人亲属办理丧葬事宜支出的</w:t>
            </w:r>
            <w:r>
              <w:rPr>
                <w:b/>
                <w:color w:val="FF6600"/>
                <w:sz w:val="18"/>
              </w:rPr>
              <w:t>交通费、住宿费</w:t>
            </w:r>
            <w:r>
              <w:rPr>
                <w:sz w:val="18"/>
              </w:rPr>
              <w:t>和</w:t>
            </w:r>
            <w:r>
              <w:rPr>
                <w:b/>
                <w:color w:val="FF6600"/>
                <w:sz w:val="18"/>
              </w:rPr>
              <w:t>误工损失</w:t>
            </w:r>
            <w:r>
              <w:rPr>
                <w:sz w:val="18"/>
              </w:rPr>
              <w:t>等其他合理</w:t>
            </w:r>
          </w:p>
          <w:p>
            <w:pPr>
              <w:pStyle w:val="TableParagraph"/>
              <w:spacing w:before="23"/>
              <w:rPr>
                <w:sz w:val="18"/>
              </w:rPr>
            </w:pPr>
            <w:r>
              <w:rPr>
                <w:sz w:val="18"/>
              </w:rPr>
              <w:t>费用</w:t>
            </w:r>
          </w:p>
        </w:tc>
        <w:tc>
          <w:tcPr>
            <w:tcW w:w="6810" w:type="dxa"/>
          </w:tcPr>
          <w:p>
            <w:pPr>
              <w:pStyle w:val="TableParagraph"/>
              <w:spacing w:before="32"/>
              <w:rPr>
                <w:sz w:val="18"/>
              </w:rPr>
            </w:pPr>
            <w:r>
              <w:rPr>
                <w:sz w:val="18"/>
              </w:rPr>
              <w:t>15、按照实际产生，以正式发票为凭</w:t>
            </w:r>
          </w:p>
        </w:tc>
      </w:tr>
    </w:tbl>
    <w:p>
      <w:pPr>
        <w:pStyle w:val="BodyText"/>
        <w:spacing w:line="323" w:lineRule="exact"/>
        <w:rPr>
          <w:rFonts w:ascii="华文楷体" w:eastAsia="华文楷体" w:hint="eastAsia"/>
        </w:rPr>
      </w:pPr>
      <w:r>
        <w:rPr/>
        <w:pict>
          <v:rect style="position:absolute;margin-left:429.049988pt;margin-top:-77.440002pt;width:329.57pt;height:11.76pt;mso-position-horizontal-relative:page;mso-position-vertical-relative:paragraph;z-index:-252041216" filled="true" fillcolor="#f7f6f6" stroked="false">
            <v:fill type="solid"/>
            <w10:wrap type="none"/>
          </v:rect>
        </w:pict>
      </w:r>
      <w:r>
        <w:rPr>
          <w:rFonts w:ascii="华文楷体" w:eastAsia="华文楷体" w:hint="eastAsia"/>
        </w:rPr>
        <w:t>2019 年浙江省在岗职工 年平均工资 72078 元。(2020 年 5 月 29 日公布)</w:t>
      </w:r>
    </w:p>
    <w:p>
      <w:pPr>
        <w:pStyle w:val="BodyText"/>
        <w:spacing w:before="5"/>
      </w:pPr>
      <w:r>
        <w:rPr>
          <w:rFonts w:ascii="Times New Roman" w:eastAsia="Times New Roman"/>
        </w:rPr>
        <w:t>2019 </w:t>
      </w:r>
      <w:r>
        <w:rPr>
          <w:spacing w:val="-8"/>
        </w:rPr>
        <w:t>年，浙江省全体居民人均可支配收入 </w:t>
      </w:r>
      <w:r>
        <w:rPr>
          <w:rFonts w:ascii="Times New Roman" w:eastAsia="Times New Roman"/>
        </w:rPr>
        <w:t>49899 </w:t>
      </w:r>
      <w:r>
        <w:rPr>
          <w:spacing w:val="-9"/>
        </w:rPr>
        <w:t>元，人均生活消费支出 </w:t>
      </w:r>
      <w:r>
        <w:rPr>
          <w:rFonts w:ascii="Times New Roman" w:eastAsia="Times New Roman"/>
        </w:rPr>
        <w:t>32026 </w:t>
      </w:r>
      <w:r>
        <w:rPr>
          <w:spacing w:val="-8"/>
        </w:rPr>
        <w:t>元；城镇常住居民人均可支配收入 </w:t>
      </w:r>
      <w:r>
        <w:rPr>
          <w:rFonts w:ascii="Times New Roman" w:eastAsia="Times New Roman"/>
        </w:rPr>
        <w:t>60182 </w:t>
      </w:r>
      <w:r>
        <w:rPr>
          <w:spacing w:val="-9"/>
        </w:rPr>
        <w:t>元，人均生活消费支出 </w:t>
      </w:r>
      <w:r>
        <w:rPr>
          <w:rFonts w:ascii="Times New Roman" w:eastAsia="Times New Roman"/>
        </w:rPr>
        <w:t>37508 </w:t>
      </w:r>
      <w:r>
        <w:rPr/>
        <w:t>元；</w:t>
      </w:r>
    </w:p>
    <w:p>
      <w:pPr>
        <w:pStyle w:val="BodyText"/>
        <w:tabs>
          <w:tab w:pos="6720" w:val="left" w:leader="none"/>
        </w:tabs>
        <w:spacing w:before="42"/>
        <w:rPr>
          <w:rFonts w:ascii="Times New Roman" w:eastAsia="Times New Roman"/>
          <w:sz w:val="18"/>
        </w:rPr>
      </w:pPr>
      <w:r>
        <w:rPr/>
        <w:t>农村</w:t>
      </w:r>
      <w:r>
        <w:rPr>
          <w:spacing w:val="-3"/>
        </w:rPr>
        <w:t>常</w:t>
      </w:r>
      <w:r>
        <w:rPr/>
        <w:t>住</w:t>
      </w:r>
      <w:r>
        <w:rPr>
          <w:spacing w:val="-3"/>
        </w:rPr>
        <w:t>居</w:t>
      </w:r>
      <w:r>
        <w:rPr/>
        <w:t>民</w:t>
      </w:r>
      <w:r>
        <w:rPr>
          <w:spacing w:val="-3"/>
        </w:rPr>
        <w:t>人</w:t>
      </w:r>
      <w:r>
        <w:rPr/>
        <w:t>均</w:t>
      </w:r>
      <w:r>
        <w:rPr>
          <w:spacing w:val="-3"/>
        </w:rPr>
        <w:t>可</w:t>
      </w:r>
      <w:r>
        <w:rPr/>
        <w:t>支</w:t>
      </w:r>
      <w:r>
        <w:rPr>
          <w:spacing w:val="-3"/>
        </w:rPr>
        <w:t>配</w:t>
      </w:r>
      <w:r>
        <w:rPr/>
        <w:t>收入</w:t>
      </w:r>
      <w:r>
        <w:rPr>
          <w:spacing w:val="-49"/>
        </w:rPr>
        <w:t> </w:t>
      </w:r>
      <w:r>
        <w:rPr>
          <w:rFonts w:ascii="Times New Roman" w:eastAsia="Times New Roman"/>
        </w:rPr>
        <w:t>29876</w:t>
      </w:r>
      <w:r>
        <w:rPr>
          <w:rFonts w:ascii="Times New Roman" w:eastAsia="Times New Roman"/>
          <w:spacing w:val="1"/>
        </w:rPr>
        <w:t> </w:t>
      </w:r>
      <w:r>
        <w:rPr/>
        <w:t>元</w:t>
      </w:r>
      <w:r>
        <w:rPr>
          <w:spacing w:val="-3"/>
        </w:rPr>
        <w:t>，</w:t>
      </w:r>
      <w:r>
        <w:rPr/>
        <w:t>人</w:t>
      </w:r>
      <w:r>
        <w:rPr>
          <w:spacing w:val="-3"/>
        </w:rPr>
        <w:t>均</w:t>
      </w:r>
      <w:r>
        <w:rPr/>
        <w:t>生</w:t>
      </w:r>
      <w:r>
        <w:rPr>
          <w:spacing w:val="-3"/>
        </w:rPr>
        <w:t>活</w:t>
      </w:r>
      <w:r>
        <w:rPr/>
        <w:t>消费</w:t>
      </w:r>
      <w:r>
        <w:rPr>
          <w:spacing w:val="-3"/>
        </w:rPr>
        <w:t>支</w:t>
      </w:r>
      <w:r>
        <w:rPr/>
        <w:t>出</w:t>
      </w:r>
      <w:r>
        <w:rPr>
          <w:spacing w:val="-48"/>
        </w:rPr>
        <w:t> </w:t>
      </w:r>
      <w:r>
        <w:rPr>
          <w:rFonts w:ascii="Times New Roman" w:eastAsia="Times New Roman"/>
        </w:rPr>
        <w:t>21352</w:t>
      </w:r>
      <w:r>
        <w:rPr>
          <w:rFonts w:ascii="Times New Roman" w:eastAsia="Times New Roman"/>
          <w:spacing w:val="1"/>
        </w:rPr>
        <w:t> </w:t>
      </w:r>
      <w:r>
        <w:rPr/>
        <w:t>元</w:t>
        <w:tab/>
      </w:r>
      <w:r>
        <w:rPr>
          <w:spacing w:val="-3"/>
        </w:rPr>
        <w:t>统计</w:t>
      </w:r>
      <w:r>
        <w:rPr/>
        <w:t>部门</w:t>
      </w:r>
      <w:r>
        <w:rPr>
          <w:spacing w:val="-3"/>
        </w:rPr>
        <w:t>发</w:t>
      </w:r>
      <w:r>
        <w:rPr/>
        <w:t>布</w:t>
      </w:r>
      <w:r>
        <w:rPr>
          <w:spacing w:val="-3"/>
        </w:rPr>
        <w:t>日</w:t>
      </w:r>
      <w:r>
        <w:rPr/>
        <w:t>期</w:t>
      </w:r>
      <w:r>
        <w:rPr>
          <w:sz w:val="18"/>
          <w:shd w:fill="F7F6F6" w:color="auto" w:val="clear"/>
        </w:rPr>
        <w:t>：</w:t>
      </w:r>
      <w:r>
        <w:rPr>
          <w:rFonts w:ascii="Times New Roman" w:eastAsia="Times New Roman"/>
          <w:sz w:val="18"/>
          <w:shd w:fill="F7F6F6" w:color="auto" w:val="clear"/>
        </w:rPr>
        <w:t>2020.1.21</w:t>
      </w:r>
    </w:p>
    <w:p>
      <w:pPr>
        <w:spacing w:line="324" w:lineRule="auto" w:before="61"/>
        <w:ind w:left="100" w:right="1602" w:firstLine="0"/>
        <w:jc w:val="left"/>
        <w:rPr>
          <w:sz w:val="18"/>
        </w:rPr>
      </w:pPr>
      <w:r>
        <w:rPr>
          <w:sz w:val="18"/>
          <w:shd w:fill="F7F6F6" w:color="auto" w:val="clear"/>
        </w:rPr>
        <w:t>上述赔偿标准以关于印发《温州市中级人民法院关于人身损害赔偿纠纷案件统一城乡居民标准等问题的会议纪要》计算文件公布于 </w:t>
      </w:r>
      <w:r>
        <w:rPr>
          <w:rFonts w:ascii="Times New Roman" w:eastAsia="Times New Roman"/>
          <w:sz w:val="18"/>
          <w:shd w:fill="F7F6F6" w:color="auto" w:val="clear"/>
        </w:rPr>
        <w:t>2019.12.18</w:t>
      </w:r>
      <w:r>
        <w:rPr>
          <w:sz w:val="18"/>
          <w:shd w:fill="F7F6F6" w:color="auto" w:val="clear"/>
        </w:rPr>
        <w:t>，</w:t>
      </w:r>
      <w:r>
        <w:rPr>
          <w:rFonts w:ascii="Times New Roman" w:eastAsia="Times New Roman"/>
          <w:sz w:val="18"/>
          <w:shd w:fill="F7F6F6" w:color="auto" w:val="clear"/>
        </w:rPr>
        <w:t>2020.1.1 </w:t>
      </w:r>
      <w:r>
        <w:rPr>
          <w:sz w:val="18"/>
          <w:shd w:fill="F7F6F6" w:color="auto" w:val="clear"/>
        </w:rPr>
        <w:t>起施行上一年度在岗职工平均工资一般公布于每年 </w:t>
      </w:r>
      <w:r>
        <w:rPr>
          <w:rFonts w:ascii="Times New Roman" w:eastAsia="Times New Roman"/>
          <w:sz w:val="18"/>
          <w:shd w:fill="F7F6F6" w:color="auto" w:val="clear"/>
        </w:rPr>
        <w:t>5 </w:t>
      </w:r>
      <w:r>
        <w:rPr>
          <w:sz w:val="18"/>
          <w:shd w:fill="F7F6F6" w:color="auto" w:val="clear"/>
        </w:rPr>
        <w:t>月中旬，届时注意相关公告</w:t>
      </w:r>
    </w:p>
    <w:p>
      <w:pPr>
        <w:pStyle w:val="Heading1"/>
      </w:pPr>
      <w:r>
        <w:rPr/>
        <w:t>2020 年温州市人身损害赔偿一览表（2020.5.30 更新）</w:t>
      </w:r>
    </w:p>
    <w:p>
      <w:pPr>
        <w:pStyle w:val="BodyText"/>
        <w:spacing w:before="3"/>
        <w:ind w:left="0"/>
        <w:rPr>
          <w:rFonts w:ascii="华文楷体"/>
          <w:sz w:val="6"/>
        </w:rPr>
      </w:pPr>
    </w:p>
    <w:p>
      <w:pPr>
        <w:spacing w:before="64"/>
        <w:ind w:left="8501" w:right="0" w:firstLine="0"/>
        <w:jc w:val="left"/>
        <w:rPr>
          <w:rFonts w:ascii="华文楷体" w:eastAsia="华文楷体" w:hint="eastAsia"/>
          <w:sz w:val="28"/>
        </w:rPr>
      </w:pPr>
      <w:r>
        <w:rPr>
          <w:rFonts w:ascii="华文楷体" w:eastAsia="华文楷体" w:hint="eastAsia"/>
          <w:sz w:val="28"/>
        </w:rPr>
        <w:t>制表人－浙江海昌律师事务所 陈楚</w:t>
      </w:r>
    </w:p>
    <w:sectPr>
      <w:pgSz w:w="16840" w:h="11910" w:orient="landscape"/>
      <w:pgMar w:top="1060" w:bottom="280" w:left="13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楷体">
    <w:altName w:val="华文楷体"/>
    <w:charset w:val="86"/>
    <w:family w:val="auto"/>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0"/>
    </w:pPr>
    <w:rPr>
      <w:rFonts w:ascii="宋体" w:hAnsi="宋体" w:eastAsia="宋体" w:cs="宋体"/>
      <w:sz w:val="21"/>
      <w:szCs w:val="21"/>
      <w:lang w:val="zh-CN" w:eastAsia="zh-CN" w:bidi="zh-CN"/>
    </w:rPr>
  </w:style>
  <w:style w:styleId="Heading1" w:type="paragraph">
    <w:name w:val="Heading 1"/>
    <w:basedOn w:val="Normal"/>
    <w:uiPriority w:val="1"/>
    <w:qFormat/>
    <w:pPr>
      <w:spacing w:before="43"/>
      <w:ind w:left="100"/>
      <w:outlineLvl w:val="1"/>
    </w:pPr>
    <w:rPr>
      <w:rFonts w:ascii="华文楷体" w:hAnsi="华文楷体" w:eastAsia="华文楷体" w:cs="华文楷体"/>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2020-09-17T08:03:41Z</dcterms:created>
  <dcterms:modified xsi:type="dcterms:W3CDTF">2020-09-17T08:03:41Z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2016</vt:lpwstr>
  </property>
  <property fmtid="{D5CDD505-2E9C-101B-9397-08002B2CF9AE}" pid="4" name="LastSaved">
    <vt:filetime>2020-09-17T00:00:00Z</vt:filetime>
  </property>
</Properties>
</file>